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Ind w:type="dxa" w:w="-34"/>
        <w:tblLayout w:type="fixed"/>
      </w:tblPr>
      <w:tblGrid>
        <w:gridCol w:w="10942"/>
      </w:tblGrid>
      <w:tr>
        <w:tc>
          <w:tcPr>
            <w:tcW w:type="dxa" w:w="10942"/>
          </w:tcPr>
          <w:p w14:paraId="01000000">
            <w:pPr>
              <w:tabs>
                <w:tab w:leader="none" w:pos="3270" w:val="left"/>
              </w:tabs>
              <w:ind/>
              <w:jc w:val="center"/>
              <w:rPr>
                <w:b w:val="1"/>
              </w:rPr>
            </w:pPr>
            <w:r>
              <w:rPr>
                <w:b w:val="1"/>
              </w:rPr>
              <w:t xml:space="preserve">ИНФОРМАЦИОННОЕ СООБЩЕНИЕ </w:t>
            </w:r>
          </w:p>
          <w:p w14:paraId="02000000">
            <w:pPr>
              <w:tabs>
                <w:tab w:leader="none" w:pos="3270" w:val="left"/>
              </w:tabs>
              <w:ind/>
              <w:jc w:val="center"/>
              <w:rPr>
                <w:b w:val="1"/>
              </w:rPr>
            </w:pPr>
            <w:r>
              <w:rPr>
                <w:b w:val="1"/>
              </w:rPr>
              <w:t>о проведении аукциона в электронной форме по продаже муниципального имущества, находящегося в собственно</w:t>
            </w:r>
            <w:r>
              <w:rPr>
                <w:b w:val="1"/>
              </w:rPr>
              <w:t>сти муниципального образования Красноармейский район</w:t>
            </w:r>
          </w:p>
          <w:p w14:paraId="03000000">
            <w:pPr>
              <w:tabs>
                <w:tab w:leader="none" w:pos="3270" w:val="left"/>
              </w:tabs>
              <w:ind/>
              <w:jc w:val="center"/>
              <w:rPr>
                <w:b w:val="1"/>
              </w:rPr>
            </w:pPr>
          </w:p>
          <w:p w14:paraId="04000000">
            <w:pPr>
              <w:pStyle w:val="Style_2"/>
              <w:ind w:firstLine="708"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действующее </w:t>
            </w:r>
            <w:r>
              <w:rPr>
                <w:rFonts w:ascii="Times New Roman" w:hAnsi="Times New Roman"/>
                <w:sz w:val="24"/>
              </w:rPr>
              <w:t>в соответствии с Федеральным Законом Ро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сийской Федерации от 21.12.2001 г. № 178-ФЗ «О приватизации государственного и мун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ципального имущества», постановлением Правительства Российской Федерации от 27.08.2012 № 860 «Об орган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зации и проведении продажи государственного или муниципального имущества в электро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ной форме», регламентом эле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тронной площадки «Сбербанк-АСТ» (</w: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begin"/>
            </w:r>
            <w:r>
              <w:rPr>
                <w:rStyle w:val="Style_3_ch"/>
                <w:rFonts w:ascii="Times New Roman" w:hAnsi="Times New Roman"/>
                <w:sz w:val="24"/>
              </w:rPr>
              <w:instrText>HYPERLINK "http://utp.sberbank-ast.ru/AP/Notice/1027/Instructions"</w:instrTex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Style_3_ch"/>
                <w:rFonts w:ascii="Times New Roman" w:hAnsi="Times New Roman"/>
                <w:sz w:val="24"/>
              </w:rPr>
              <w:t>http://utp</w:t>
            </w:r>
            <w:r>
              <w:rPr>
                <w:rStyle w:val="Style_3_ch"/>
                <w:rFonts w:ascii="Times New Roman" w:hAnsi="Times New Roman"/>
                <w:sz w:val="24"/>
              </w:rPr>
              <w:t>.sberbank-ast.ru/AP/Notice/1027/Instructions</w: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), </w:t>
            </w:r>
            <w:r>
              <w:rPr>
                <w:rFonts w:ascii="Times New Roman" w:hAnsi="Times New Roman"/>
                <w:sz w:val="24"/>
              </w:rPr>
              <w:t>программой приватизации объектов н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движимости, находящихся в муниципальной собственности муниципального образова</w:t>
            </w:r>
            <w:r>
              <w:rPr>
                <w:rFonts w:ascii="Times New Roman" w:hAnsi="Times New Roman"/>
                <w:sz w:val="24"/>
              </w:rPr>
              <w:t>ния Красноармейский район на 202</w:t>
            </w: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 xml:space="preserve"> год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у</w:t>
            </w:r>
            <w:r>
              <w:rPr>
                <w:rFonts w:ascii="Times New Roman" w:hAnsi="Times New Roman"/>
                <w:spacing w:val="-1"/>
                <w:sz w:val="24"/>
              </w:rPr>
              <w:t>т</w:t>
            </w:r>
            <w:r>
              <w:rPr>
                <w:rFonts w:ascii="Times New Roman" w:hAnsi="Times New Roman"/>
                <w:spacing w:val="-1"/>
                <w:sz w:val="24"/>
              </w:rPr>
              <w:t>вержден</w:t>
            </w:r>
            <w:r>
              <w:rPr>
                <w:rFonts w:ascii="Times New Roman" w:hAnsi="Times New Roman"/>
                <w:sz w:val="24"/>
              </w:rPr>
              <w:t>ным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решением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Совета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муниципального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образования Красноармейский район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от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                 </w:t>
            </w:r>
            <w:r>
              <w:rPr>
                <w:rFonts w:ascii="Times New Roman" w:hAnsi="Times New Roman"/>
                <w:spacing w:val="-1"/>
                <w:sz w:val="24"/>
              </w:rPr>
              <w:t>13 декабря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2023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го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да № </w:t>
            </w:r>
            <w:r>
              <w:rPr>
                <w:rFonts w:ascii="Times New Roman" w:hAnsi="Times New Roman"/>
                <w:spacing w:val="-1"/>
                <w:sz w:val="24"/>
              </w:rPr>
              <w:t>53/10</w:t>
            </w:r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>жения имуществом, находящимся в мун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ципальной собственности муниципального образования Красноармейский район», утвержденным 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 xml:space="preserve">шением Совета муниципального образования Красноармейский район от </w:t>
            </w:r>
            <w:r>
              <w:rPr>
                <w:rFonts w:ascii="Times New Roman" w:hAnsi="Times New Roman"/>
                <w:sz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</w:rPr>
              <w:t>22 марта 2017 года № 27/2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постановлением администрации муниципальн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го образования </w:t>
            </w:r>
            <w:r>
              <w:rPr>
                <w:rFonts w:ascii="Times New Roman" w:hAnsi="Times New Roman"/>
                <w:sz w:val="24"/>
              </w:rPr>
              <w:t>Красноармейский район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от </w:t>
            </w:r>
            <w:r>
              <w:rPr>
                <w:rFonts w:ascii="Times New Roman" w:hAnsi="Times New Roman"/>
                <w:sz w:val="24"/>
              </w:rPr>
              <w:t>20.03.2024</w:t>
            </w:r>
            <w:r>
              <w:rPr>
                <w:rFonts w:ascii="Times New Roman" w:hAnsi="Times New Roman"/>
                <w:sz w:val="24"/>
              </w:rPr>
              <w:t xml:space="preserve"> г. № </w:t>
            </w:r>
            <w:r>
              <w:rPr>
                <w:rFonts w:ascii="Times New Roman" w:hAnsi="Times New Roman"/>
                <w:sz w:val="24"/>
              </w:rPr>
              <w:t>515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>
              <w:rPr>
                <w:rFonts w:ascii="Times New Roman" w:hAnsi="Times New Roman"/>
                <w:sz w:val="24"/>
              </w:rPr>
              <w:t>О приватизации муниципального имущества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сообщает о продаже имущества, находящег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ся в собственности муниципального образования </w:t>
            </w:r>
            <w:r>
              <w:rPr>
                <w:rFonts w:ascii="Times New Roman" w:hAnsi="Times New Roman"/>
                <w:sz w:val="24"/>
              </w:rPr>
              <w:t>Красноармейский район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аукционе </w:t>
            </w:r>
            <w:r>
              <w:rPr>
                <w:rFonts w:ascii="Times New Roman" w:hAnsi="Times New Roman"/>
                <w:sz w:val="24"/>
              </w:rPr>
              <w:t>в электронной форме, открытом по составу участников и по форме подачи предложений о цене имущес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ва.</w:t>
            </w:r>
          </w:p>
          <w:p w14:paraId="05000000">
            <w:pPr>
              <w:ind w:firstLine="567" w:left="0"/>
              <w:jc w:val="both"/>
              <w:rPr>
                <w:u w:val="single"/>
              </w:rPr>
            </w:pPr>
            <w:r>
              <w:t xml:space="preserve">Настоящее </w:t>
            </w:r>
            <w:r>
              <w:t xml:space="preserve">информационное сообщение </w:t>
            </w:r>
            <w:r>
              <w:t xml:space="preserve">размещается на официальном сайте </w:t>
            </w:r>
            <w:r>
              <w:t>Российской Федер</w:t>
            </w:r>
            <w:r>
              <w:t>а</w:t>
            </w:r>
            <w:r>
              <w:t xml:space="preserve">ции </w:t>
            </w:r>
            <w:r>
              <w:rPr>
                <w:u w:val="single"/>
              </w:rPr>
              <w:fldChar w:fldCharType="begin"/>
            </w:r>
            <w:r>
              <w:rPr>
                <w:u w:val="single"/>
              </w:rPr>
              <w:instrText>HYPERLINK "http://www.torgi.gov.ru"</w:instrText>
            </w:r>
            <w:r>
              <w:rPr>
                <w:u w:val="single"/>
              </w:rPr>
              <w:fldChar w:fldCharType="separate"/>
            </w:r>
            <w:r>
              <w:rPr>
                <w:u w:val="single"/>
              </w:rPr>
              <w:t>www.torgi.gov.ru</w:t>
            </w:r>
            <w:r>
              <w:rPr>
                <w:u w:val="single"/>
              </w:rPr>
              <w:fldChar w:fldCharType="end"/>
            </w:r>
            <w:r>
              <w:t xml:space="preserve">,  </w:t>
            </w:r>
            <w:r>
              <w:t xml:space="preserve">на официальном сайте администрации муниципального образования </w:t>
            </w:r>
            <w:r>
              <w:t>Красноа</w:t>
            </w:r>
            <w:r>
              <w:t>р</w:t>
            </w:r>
            <w:r>
              <w:t xml:space="preserve">мейский </w:t>
            </w:r>
            <w:r>
              <w:t xml:space="preserve"> район  –</w:t>
            </w:r>
            <w:r>
              <w:t xml:space="preserve"> </w:t>
            </w:r>
            <w:r>
              <w:rPr>
                <w:rStyle w:val="Style_3_ch"/>
              </w:rPr>
              <w:fldChar w:fldCharType="begin"/>
            </w:r>
            <w:r>
              <w:rPr>
                <w:rStyle w:val="Style_3_ch"/>
              </w:rPr>
              <w:instrText>HYPERLINK "http://www.krasnarm.ru"</w:instrText>
            </w:r>
            <w:r>
              <w:rPr>
                <w:rStyle w:val="Style_3_ch"/>
              </w:rPr>
              <w:fldChar w:fldCharType="separate"/>
            </w:r>
            <w:r>
              <w:rPr>
                <w:rStyle w:val="Style_3_ch"/>
              </w:rPr>
              <w:t>www.krasnarm.ru</w:t>
            </w:r>
            <w:r>
              <w:rPr>
                <w:rStyle w:val="Style_3_ch"/>
              </w:rPr>
              <w:fldChar w:fldCharType="end"/>
            </w:r>
            <w:r>
              <w:rPr>
                <w:u w:val="single"/>
              </w:rPr>
              <w:t xml:space="preserve">, и электронной площадке </w:t>
            </w:r>
            <w:r>
              <w:t>http://utp.sberbank-ast.ru</w:t>
            </w:r>
            <w:r>
              <w:t>.</w:t>
            </w:r>
          </w:p>
          <w:p w14:paraId="06000000">
            <w:pPr>
              <w:pStyle w:val="Style_4"/>
              <w:widowControl w:val="0"/>
              <w:tabs>
                <w:tab w:leader="none" w:pos="709" w:val="left"/>
                <w:tab w:leader="none" w:pos="3600" w:val="left"/>
              </w:tabs>
              <w:spacing w:after="0" w:before="0"/>
              <w:ind w:firstLine="567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color w:val="000000"/>
                <w:sz w:val="24"/>
              </w:rPr>
              <w:t>АО «Сбербанк-АСТ»,</w:t>
            </w:r>
            <w:r>
              <w:rPr>
                <w:rFonts w:ascii="Times New Roman" w:hAnsi="Times New Roman"/>
                <w:sz w:val="24"/>
              </w:rPr>
              <w:t xml:space="preserve">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 информационно-телекоммуникационной сети «Интернет».</w:t>
            </w:r>
          </w:p>
          <w:p w14:paraId="07000000">
            <w:pPr>
              <w:widowControl w:val="0"/>
              <w:tabs>
                <w:tab w:leader="none" w:pos="1032" w:val="left"/>
              </w:tabs>
              <w:ind w:firstLine="597" w:left="0"/>
              <w:jc w:val="both"/>
              <w:rPr>
                <w:sz w:val="22"/>
              </w:rPr>
            </w:pPr>
            <w:r>
              <w:rPr>
                <w:b w:val="1"/>
              </w:rPr>
              <w:t>Наименование имущества</w:t>
            </w:r>
            <w:r>
              <w:rPr>
                <w:b w:val="1"/>
              </w:rPr>
              <w:t xml:space="preserve"> - </w:t>
            </w:r>
            <w:r>
              <w:t>автомобиль ГАЗ-32213 специальное пассажирское транспортное средство (13мест), идентификационный номер (VIN) Х9632213070547699, год выпуска-2007, модель, номер двигателя-40522Р*73080758, номер кузова- 32210070323142, цвет кузова - белый</w:t>
            </w:r>
            <w:r>
              <w:rPr>
                <w:sz w:val="22"/>
              </w:rPr>
              <w:t>.</w:t>
            </w:r>
          </w:p>
          <w:p w14:paraId="08000000">
            <w:pPr>
              <w:widowControl w:val="0"/>
              <w:tabs>
                <w:tab w:leader="none" w:pos="1032" w:val="left"/>
              </w:tabs>
              <w:ind w:firstLine="597" w:left="0"/>
              <w:jc w:val="both"/>
              <w:rPr>
                <w:spacing w:val="-11"/>
              </w:rPr>
            </w:pPr>
            <w:r>
              <w:rPr>
                <w:sz w:val="22"/>
              </w:rPr>
              <w:t>1</w:t>
            </w:r>
            <w:r>
              <w:t xml:space="preserve">. </w:t>
            </w:r>
            <w:r>
              <w:t xml:space="preserve">Начальная цена предмета аукциона – </w:t>
            </w:r>
            <w:r>
              <w:rPr>
                <w:spacing w:val="-3"/>
              </w:rPr>
              <w:t xml:space="preserve">составляет </w:t>
            </w:r>
            <w:r>
              <w:rPr>
                <w:spacing w:val="-3"/>
              </w:rPr>
              <w:t>68 000</w:t>
            </w:r>
            <w:r>
              <w:rPr>
                <w:spacing w:val="-3"/>
              </w:rPr>
              <w:t xml:space="preserve"> (</w:t>
            </w:r>
            <w:r>
              <w:rPr>
                <w:spacing w:val="-3"/>
              </w:rPr>
              <w:t>шестьдесят восемь тысяч</w:t>
            </w:r>
            <w:r>
              <w:rPr>
                <w:spacing w:val="-1"/>
              </w:rPr>
              <w:t>) рубл</w:t>
            </w:r>
            <w:r>
              <w:rPr>
                <w:spacing w:val="-1"/>
              </w:rPr>
              <w:t>ей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</w:rPr>
              <w:t>00 копеек</w:t>
            </w:r>
            <w:r>
              <w:rPr>
                <w:spacing w:val="-1"/>
              </w:rPr>
              <w:t xml:space="preserve">, </w:t>
            </w:r>
            <w:r>
              <w:rPr>
                <w:spacing w:val="-1"/>
              </w:rP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</w:rPr>
              <w:t>учет</w:t>
            </w:r>
            <w:r>
              <w:rPr>
                <w:spacing w:val="-1"/>
              </w:rPr>
              <w:t>ом</w:t>
            </w:r>
            <w:r>
              <w:rPr>
                <w:spacing w:val="-1"/>
              </w:rPr>
              <w:t xml:space="preserve"> НДС</w:t>
            </w:r>
            <w:r>
              <w:rPr>
                <w:spacing w:val="-1"/>
              </w:rPr>
              <w:t>.</w:t>
            </w:r>
            <w:r>
              <w:t xml:space="preserve"> Обрем</w:t>
            </w:r>
            <w:r>
              <w:t>е</w:t>
            </w:r>
            <w:r>
              <w:t>нений нет.</w:t>
            </w:r>
          </w:p>
          <w:p w14:paraId="09000000">
            <w:pPr>
              <w:tabs>
                <w:tab w:leader="none" w:pos="1032" w:val="left"/>
              </w:tabs>
              <w:ind w:firstLine="597" w:left="0"/>
              <w:jc w:val="both"/>
              <w:rPr>
                <w:spacing w:val="-13"/>
              </w:rPr>
            </w:pPr>
            <w:r>
              <w:t xml:space="preserve">2. </w:t>
            </w:r>
            <w:r>
              <w:t>Размер задатка</w:t>
            </w:r>
            <w:r>
              <w:t xml:space="preserve"> </w:t>
            </w:r>
            <w:r>
              <w:t>(</w:t>
            </w:r>
            <w:r>
              <w:t>1</w:t>
            </w:r>
            <w:r>
              <w:t xml:space="preserve">0% от начальной стоимости) </w:t>
            </w:r>
            <w:r>
              <w:t xml:space="preserve">составляет </w:t>
            </w:r>
            <w:r>
              <w:t xml:space="preserve">– </w:t>
            </w:r>
            <w:r>
              <w:t>6 800</w:t>
            </w:r>
            <w:r>
              <w:t xml:space="preserve"> (</w:t>
            </w:r>
            <w:r>
              <w:t>шесть тысяч восемьсот</w:t>
            </w:r>
            <w:r>
              <w:t>) рубл</w:t>
            </w:r>
            <w:r>
              <w:t>ей</w:t>
            </w:r>
            <w:r>
              <w:t xml:space="preserve"> </w:t>
            </w:r>
            <w:r>
              <w:t>0</w:t>
            </w:r>
            <w:r>
              <w:t>0 копеек</w:t>
            </w:r>
            <w:r>
              <w:t>.</w:t>
            </w:r>
          </w:p>
          <w:p w14:paraId="0A000000">
            <w:pPr>
              <w:pStyle w:val="Style_5"/>
              <w:tabs>
                <w:tab w:leader="none" w:pos="0" w:val="left"/>
              </w:tabs>
              <w:ind w:firstLine="597" w:left="0" w:right="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z w:val="24"/>
              </w:rPr>
              <w:t xml:space="preserve">«Шаг» аукциона </w:t>
            </w:r>
            <w:r>
              <w:rPr>
                <w:rFonts w:ascii="Times New Roman" w:hAnsi="Times New Roman"/>
                <w:sz w:val="24"/>
              </w:rPr>
              <w:t xml:space="preserve">составляет </w:t>
            </w:r>
            <w:r>
              <w:rPr>
                <w:rFonts w:ascii="Times New Roman" w:hAnsi="Times New Roman"/>
                <w:sz w:val="24"/>
              </w:rPr>
              <w:t xml:space="preserve">– </w:t>
            </w:r>
            <w:r>
              <w:rPr>
                <w:rFonts w:ascii="Times New Roman" w:hAnsi="Times New Roman"/>
                <w:sz w:val="24"/>
              </w:rPr>
              <w:t>3 400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(</w:t>
            </w:r>
            <w:r>
              <w:rPr>
                <w:rFonts w:ascii="Times New Roman" w:hAnsi="Times New Roman"/>
                <w:spacing w:val="-1"/>
                <w:sz w:val="24"/>
              </w:rPr>
              <w:t>три тысячи четыреста</w:t>
            </w:r>
            <w:r>
              <w:rPr>
                <w:rFonts w:ascii="Times New Roman" w:hAnsi="Times New Roman"/>
                <w:spacing w:val="-1"/>
                <w:sz w:val="24"/>
              </w:rPr>
              <w:t>) рубл</w:t>
            </w:r>
            <w:r>
              <w:rPr>
                <w:rFonts w:ascii="Times New Roman" w:hAnsi="Times New Roman"/>
                <w:spacing w:val="-1"/>
                <w:sz w:val="24"/>
              </w:rPr>
              <w:t>ей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0</w:t>
            </w:r>
            <w:r>
              <w:rPr>
                <w:rFonts w:ascii="Times New Roman" w:hAnsi="Times New Roman"/>
                <w:spacing w:val="-1"/>
                <w:sz w:val="24"/>
              </w:rPr>
              <w:t>0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копеек</w:t>
            </w:r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  <w:p w14:paraId="0B000000">
            <w:pPr>
              <w:pStyle w:val="Style_6"/>
              <w:tabs>
                <w:tab w:leader="none" w:pos="0" w:val="left"/>
              </w:tabs>
              <w:spacing w:after="0" w:line="240" w:lineRule="auto"/>
              <w:ind w:firstLine="567" w:left="0"/>
              <w:jc w:val="both"/>
            </w:pPr>
            <w:r>
              <w:rPr>
                <w:b w:val="1"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14:paraId="0C000000">
            <w:pPr>
              <w:widowControl w:val="0"/>
              <w:ind w:firstLine="567" w:left="0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</w:t>
            </w:r>
            <w:r>
              <w:t>е</w:t>
            </w:r>
            <w:r>
              <w:t>щенная на сайте http://utp.sberbank-ast.ru в сети Интернет.</w:t>
            </w:r>
          </w:p>
          <w:p w14:paraId="0D000000">
            <w:pPr>
              <w:widowControl w:val="0"/>
              <w:ind w:firstLine="567"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вом штатного интерфейса.</w:t>
            </w:r>
          </w:p>
          <w:p w14:paraId="0E000000">
            <w:pPr>
              <w:rPr>
                <w:rFonts w:ascii="TimesNewRoman,Bold" w:hAnsi="TimesNewRoman,Bold"/>
                <w:b w:val="1"/>
                <w:color w:val="000000"/>
              </w:rPr>
            </w:pPr>
            <w:r>
              <w:rPr>
                <w:rFonts w:ascii="TimesNewRoman,Bold" w:hAnsi="TimesNewRoman,Bold"/>
                <w:b w:val="1"/>
                <w:color w:val="000000"/>
              </w:rPr>
              <w:t>Место, сроки подачи (приема) заявок, определения участников и проведения Аукциона.</w:t>
            </w:r>
          </w:p>
          <w:p w14:paraId="0F000000">
            <w:pPr>
              <w:widowControl w:val="0"/>
              <w:ind w:firstLine="567" w:left="0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</w:t>
            </w:r>
            <w:r>
              <w:t xml:space="preserve">иверсальная торговая платформа </w:t>
            </w:r>
            <w:r>
              <w:t>АО «Сбербанк-АСТ», размещенная на сайте http://utp.s</w:t>
            </w:r>
            <w:r>
              <w:t>berbank-ast.ru в сети Интернет.</w:t>
            </w:r>
          </w:p>
          <w:p w14:paraId="10000000">
            <w:pPr>
              <w:ind w:firstLine="567" w:left="0"/>
              <w:jc w:val="both"/>
            </w:pPr>
            <w:r>
              <w:t>Указанное в настоящем информационном сообщении время – московское.</w:t>
            </w:r>
          </w:p>
          <w:p w14:paraId="11000000">
            <w:pPr>
              <w:ind w:firstLine="567" w:left="0"/>
              <w:jc w:val="both"/>
            </w:pPr>
            <w:r>
              <w:t>При исчислении сроков, указанных в настоящем информационном сообщении, принимается вр</w:t>
            </w:r>
            <w:r>
              <w:t>е</w:t>
            </w:r>
            <w:r>
              <w:t>мя сервера электронной торговой площадки – московское.</w:t>
            </w:r>
          </w:p>
          <w:p w14:paraId="12000000">
            <w:pPr>
              <w:widowControl w:val="0"/>
              <w:ind w:firstLine="567" w:left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</w:t>
            </w:r>
            <w:r>
              <w:rPr>
                <w:u w:val="single"/>
              </w:rPr>
              <w:t>08</w:t>
            </w:r>
            <w:r>
              <w:rPr>
                <w:u w:val="single"/>
              </w:rPr>
              <w:t xml:space="preserve">.00 час </w:t>
            </w:r>
            <w:r>
              <w:rPr>
                <w:u w:val="single"/>
              </w:rPr>
              <w:t>22</w:t>
            </w:r>
            <w:r>
              <w:rPr>
                <w:u w:val="single"/>
              </w:rPr>
              <w:t>.03.202</w:t>
            </w:r>
            <w:r>
              <w:rPr>
                <w:u w:val="single"/>
              </w:rPr>
              <w:t xml:space="preserve">4 </w:t>
            </w:r>
            <w:r>
              <w:rPr>
                <w:u w:val="single"/>
              </w:rPr>
              <w:t>г.</w:t>
            </w:r>
          </w:p>
          <w:p w14:paraId="13000000">
            <w:pPr>
              <w:widowControl w:val="0"/>
              <w:ind w:firstLine="567" w:left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окончания приема заявок на участие в продаже – в </w:t>
            </w:r>
            <w:r>
              <w:rPr>
                <w:u w:val="single"/>
              </w:rPr>
              <w:t>17</w:t>
            </w:r>
            <w:r>
              <w:rPr>
                <w:u w:val="single"/>
              </w:rPr>
              <w:t xml:space="preserve">.00 час. </w:t>
            </w:r>
            <w:r>
              <w:rPr>
                <w:u w:val="single"/>
              </w:rPr>
              <w:t>22.04</w:t>
            </w:r>
            <w:r>
              <w:rPr>
                <w:u w:val="single"/>
              </w:rPr>
              <w:t>.202</w:t>
            </w:r>
            <w:r>
              <w:rPr>
                <w:u w:val="single"/>
              </w:rPr>
              <w:t>4</w:t>
            </w:r>
            <w:r>
              <w:rPr>
                <w:u w:val="single"/>
              </w:rPr>
              <w:t xml:space="preserve"> г.</w:t>
            </w:r>
          </w:p>
          <w:p w14:paraId="14000000">
            <w:pPr>
              <w:widowControl w:val="0"/>
              <w:ind w:firstLine="567" w:left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>
              <w:rPr>
                <w:u w:val="single"/>
              </w:rPr>
              <w:t>23</w:t>
            </w:r>
            <w:r>
              <w:rPr>
                <w:u w:val="single"/>
              </w:rPr>
              <w:t>.04.202</w:t>
            </w:r>
            <w:r>
              <w:rPr>
                <w:u w:val="single"/>
              </w:rPr>
              <w:t>4</w:t>
            </w:r>
            <w:r>
              <w:rPr>
                <w:u w:val="single"/>
              </w:rPr>
              <w:t xml:space="preserve"> г. в </w:t>
            </w:r>
            <w:r>
              <w:rPr>
                <w:u w:val="single"/>
              </w:rPr>
              <w:t>14</w:t>
            </w:r>
            <w:r>
              <w:rPr>
                <w:u w:val="single"/>
              </w:rPr>
              <w:t>.00 час.</w:t>
            </w:r>
          </w:p>
          <w:p w14:paraId="15000000">
            <w:pPr>
              <w:widowControl w:val="0"/>
              <w:ind w:firstLine="567" w:left="0"/>
              <w:jc w:val="both"/>
              <w:rPr>
                <w:u w:val="single"/>
              </w:rPr>
            </w:pPr>
            <w:r>
              <w:rPr>
                <w:u w:val="single"/>
              </w:rPr>
              <w:t>Электронная продажа состоится (дата и время начала приема предложений от участников продажи) -</w:t>
            </w:r>
            <w:r>
              <w:rPr>
                <w:u w:val="single"/>
              </w:rPr>
              <w:t>25.04.2024</w:t>
            </w:r>
            <w:r>
              <w:rPr>
                <w:u w:val="single"/>
              </w:rPr>
              <w:t xml:space="preserve"> г. в </w:t>
            </w:r>
            <w:r>
              <w:rPr>
                <w:u w:val="single"/>
              </w:rPr>
              <w:t>10</w:t>
            </w:r>
            <w:r>
              <w:rPr>
                <w:u w:val="single"/>
              </w:rPr>
              <w:t>.00 час.</w:t>
            </w:r>
          </w:p>
          <w:p w14:paraId="16000000">
            <w:pPr>
              <w:ind w:firstLine="567" w:left="0"/>
              <w:jc w:val="both"/>
            </w:pPr>
            <w:r>
              <w:rPr>
                <w:u w:val="single"/>
              </w:rPr>
              <w:t xml:space="preserve">Место и срок подведения итогов продажи: электронная площадка – универсальная торговая платформа АО «Сбербанк-АСТ», </w:t>
            </w:r>
            <w:r>
              <w:rPr>
                <w:u w:val="single"/>
              </w:rPr>
              <w:t>26</w:t>
            </w:r>
            <w:r>
              <w:rPr>
                <w:u w:val="single"/>
              </w:rPr>
              <w:t>.04.202</w:t>
            </w:r>
            <w:r>
              <w:rPr>
                <w:u w:val="single"/>
              </w:rPr>
              <w:t>4</w:t>
            </w:r>
            <w:r>
              <w:rPr>
                <w:u w:val="single"/>
              </w:rPr>
              <w:t>г.</w:t>
            </w:r>
          </w:p>
          <w:p w14:paraId="17000000">
            <w:pPr>
              <w:widowControl w:val="0"/>
              <w:ind w:firstLine="567" w:left="0"/>
              <w:jc w:val="both"/>
            </w:pPr>
            <w:r>
              <w:rPr>
                <w:b w:val="1"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http://utp.sberbank-ast.ru в сети Интернет (то</w:t>
            </w:r>
            <w:r>
              <w:t>р</w:t>
            </w:r>
            <w:r>
              <w:t>говая секция «Приватизация, аренда и продажа прав»).</w:t>
            </w:r>
          </w:p>
          <w:p w14:paraId="18000000">
            <w:pPr>
              <w:pStyle w:val="Style_7"/>
              <w:ind w:firstLine="0" w:left="0"/>
              <w:rPr>
                <w:b w:val="1"/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14:paraId="19000000">
            <w:pPr>
              <w:pStyle w:val="Style_7"/>
              <w:ind w:firstLine="567"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14:paraId="1A000000">
            <w:pPr>
              <w:pStyle w:val="Style_7"/>
              <w:ind w:firstLine="567"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14:paraId="1B000000">
            <w:pPr>
              <w:pStyle w:val="Style_7"/>
              <w:ind w:firstLine="567"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Подача заявки на участие осуществляется только посредством интерфейса ун</w:t>
            </w:r>
            <w:r>
              <w:rPr>
                <w:color w:val="000000"/>
                <w:sz w:val="24"/>
              </w:rPr>
              <w:t xml:space="preserve">иверсальной торговой платформы </w:t>
            </w:r>
            <w:r>
              <w:rPr>
                <w:color w:val="000000"/>
                <w:sz w:val="24"/>
              </w:rPr>
              <w:t>АО «Сбербанк-АСТ» торговой секции «</w:t>
            </w:r>
            <w:r>
              <w:rPr>
                <w:sz w:val="24"/>
              </w:rPr>
              <w:t>Приватизация, аренда и продажа прав</w:t>
            </w:r>
            <w:r>
              <w:rPr>
                <w:color w:val="000000"/>
                <w:sz w:val="24"/>
              </w:rPr>
              <w:t xml:space="preserve">» из личного кабинета претендента </w:t>
            </w:r>
            <w:r>
              <w:rPr>
                <w:sz w:val="24"/>
              </w:rPr>
              <w:t>(образец заявки приведен в приложении 1</w:t>
            </w:r>
            <w:r>
              <w:rPr>
                <w:sz w:val="24"/>
              </w:rPr>
              <w:t>, 2</w:t>
            </w:r>
            <w:r>
              <w:rPr>
                <w:sz w:val="24"/>
              </w:rPr>
              <w:t xml:space="preserve"> к настоящему информационному сообщению)</w:t>
            </w:r>
            <w:r>
              <w:rPr>
                <w:color w:val="000000"/>
                <w:sz w:val="24"/>
              </w:rPr>
              <w:t>.</w:t>
            </w:r>
          </w:p>
          <w:p w14:paraId="1C000000">
            <w:pPr>
              <w:pStyle w:val="Style_7"/>
              <w:ind w:firstLine="567"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</w:t>
            </w:r>
            <w:r>
              <w:rPr>
                <w:color w:val="000000"/>
                <w:sz w:val="24"/>
              </w:rPr>
              <w:t xml:space="preserve">говой платформы </w:t>
            </w:r>
            <w:r>
              <w:rPr>
                <w:color w:val="000000"/>
                <w:sz w:val="24"/>
              </w:rPr>
              <w:t xml:space="preserve">АО «Сбербанк-АСТ» размещена по адресу: </w:t>
            </w:r>
            <w:r>
              <w:rPr>
                <w:color w:val="000000"/>
                <w:sz w:val="24"/>
                <w:u w:val="single"/>
              </w:rPr>
              <w:t>http://utp.sberbank-ast.ru/AP/Notice/652/Instructions</w:t>
            </w:r>
          </w:p>
          <w:p w14:paraId="1D000000">
            <w:pPr>
              <w:pStyle w:val="Style_7"/>
              <w:ind w:firstLine="567" w:left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Заявка подается путем заполнения ее электронной формы, </w:t>
            </w:r>
            <w:r>
              <w:rPr>
                <w:sz w:val="24"/>
              </w:rPr>
              <w:t>размещенной в открытой для доступа неограниченного круга лиц части электронной площадки</w:t>
            </w:r>
            <w:r>
              <w:rPr>
                <w:color w:val="000000"/>
                <w:sz w:val="24"/>
              </w:rPr>
              <w:t xml:space="preserve"> с приложением электронных образов необходимых документов </w:t>
            </w:r>
            <w:r>
              <w:rPr>
                <w:b w:val="1"/>
                <w:color w:val="000000"/>
                <w:sz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>
              <w:rPr>
                <w:color w:val="000000"/>
                <w:sz w:val="24"/>
              </w:rPr>
              <w:t>претендента либо лица, имеющего право действовать от имени претендента:</w:t>
            </w:r>
          </w:p>
          <w:p w14:paraId="1E000000">
            <w:pPr>
              <w:ind w:firstLine="567" w:left="0"/>
              <w:jc w:val="both"/>
              <w:rPr>
                <w:b w:val="1"/>
              </w:rPr>
            </w:pPr>
            <w:r>
              <w:rPr>
                <w:b w:val="1"/>
                <w:i w:val="1"/>
              </w:rPr>
              <w:t>физические лица</w:t>
            </w:r>
            <w:r>
              <w:rPr>
                <w:b w:val="1"/>
              </w:rPr>
              <w:t>:</w:t>
            </w:r>
          </w:p>
          <w:p w14:paraId="1F000000">
            <w:pPr>
              <w:ind w:firstLine="567" w:left="0"/>
              <w:jc w:val="both"/>
            </w:pPr>
            <w:r>
              <w:t>- копию всех листов документа, удостоверяющего личность;</w:t>
            </w:r>
          </w:p>
          <w:p w14:paraId="20000000">
            <w:pPr>
              <w:ind w:firstLine="567" w:left="0"/>
              <w:jc w:val="both"/>
              <w:rPr>
                <w:b w:val="1"/>
                <w:i w:val="1"/>
              </w:rPr>
            </w:pPr>
            <w:r>
              <w:rPr>
                <w:b w:val="1"/>
                <w:i w:val="1"/>
              </w:rPr>
              <w:t>юридические лица</w:t>
            </w:r>
            <w:r>
              <w:rPr>
                <w:b w:val="1"/>
                <w:i w:val="1"/>
              </w:rPr>
              <w:t>:</w:t>
            </w:r>
          </w:p>
          <w:p w14:paraId="21000000">
            <w:pPr>
              <w:ind w:firstLine="567" w:left="0"/>
              <w:jc w:val="both"/>
            </w:pPr>
            <w:r>
              <w:rPr>
                <w:i w:val="1"/>
              </w:rPr>
              <w:t>-</w:t>
            </w:r>
            <w:r>
              <w:t xml:space="preserve"> </w:t>
            </w:r>
            <w:r>
              <w:t xml:space="preserve">заверенные </w:t>
            </w:r>
            <w:r>
              <w:t>копии учредительных документов;</w:t>
            </w:r>
            <w:r>
              <w:t xml:space="preserve"> </w:t>
            </w:r>
          </w:p>
          <w:p w14:paraId="22000000">
            <w:pPr>
              <w:ind w:firstLine="540" w:left="0"/>
              <w:jc w:val="both"/>
            </w:pPr>
            <w:r>
              <w:t>- документ, содержащий сведения о доле Российской Федерации, субъекта Российской Ф</w:t>
            </w:r>
            <w:r>
              <w:t>е</w:t>
            </w:r>
            <w:r>
              <w:t>дерации или муниципального образования в уставном капитале юридического лица (реестр вл</w:t>
            </w:r>
            <w:r>
              <w:t>а</w:t>
            </w:r>
            <w:r>
              <w:t>дельцев акций либо выписка из него или заверенное печатью юридического лица (при наличии печати) и подписанное его руководителем письмо)</w:t>
            </w:r>
            <w:r>
              <w:t>;</w:t>
            </w:r>
          </w:p>
          <w:p w14:paraId="23000000">
            <w:pPr>
              <w:ind w:firstLine="540" w:left="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</w:t>
            </w:r>
            <w:r>
              <w:t>е</w:t>
            </w:r>
            <w:r>
              <w:t>ние действий от имени юридического лица (копия решения о назначении этого лица или о его избр</w:t>
            </w:r>
            <w:r>
              <w:t>а</w:t>
            </w:r>
            <w:r>
              <w:t>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14:paraId="24000000">
            <w:pPr>
              <w:ind w:firstLine="540" w:left="0"/>
              <w:jc w:val="both"/>
              <w:outlineLvl w:val="1"/>
            </w:pPr>
            <w:r>
      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</w:t>
            </w:r>
            <w:r>
              <w:t>м</w:t>
            </w:r>
            <w:r>
              <w:t xml:space="preserve">ленная в установленном </w:t>
            </w:r>
            <w:r>
              <w:fldChar w:fldCharType="begin"/>
            </w:r>
            <w:r>
              <w:instrText>HYPERLINK "consultantplus://offline/main?base=LAW;n=112770;fld=134;dst=101017"</w:instrText>
            </w:r>
            <w:r>
              <w:fldChar w:fldCharType="separate"/>
            </w:r>
            <w:r>
              <w:t>порядке</w:t>
            </w:r>
            <w:r>
              <w:fldChar w:fldCharType="end"/>
            </w:r>
            <w:r>
              <w:t>, или нотариально заверенная копия такой доверенности.  В случае, если дов</w:t>
            </w:r>
            <w:r>
              <w:t>е</w:t>
            </w:r>
            <w:r>
              <w:t>ренность на осуществление действий от имени претендента подписана лицом, уполномоченным рук</w:t>
            </w:r>
            <w:r>
              <w:t>о</w:t>
            </w:r>
            <w:r>
              <w:t>водителем юридического лица, заявка должна содержать также документ, подтверждающий полном</w:t>
            </w:r>
            <w:r>
              <w:t>о</w:t>
            </w:r>
            <w:r>
              <w:t>чия этого лица.</w:t>
            </w:r>
          </w:p>
          <w:p w14:paraId="25000000">
            <w:pPr>
              <w:ind w:firstLine="567" w:left="0"/>
              <w:jc w:val="both"/>
            </w:pPr>
            <w:r>
              <w:t>Все листы документов, представляемых одновременно с заявкой, должны быть пронумер</w:t>
            </w:r>
            <w:r>
              <w:t>о</w:t>
            </w:r>
            <w:r>
              <w:t xml:space="preserve">ваны. К данным документам прилагается опись. </w:t>
            </w:r>
          </w:p>
          <w:p w14:paraId="26000000">
            <w:pPr>
              <w:pStyle w:val="Style_6"/>
              <w:spacing w:after="0" w:line="240" w:lineRule="auto"/>
              <w:ind w:firstLine="567" w:left="0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</w:t>
            </w:r>
            <w:r>
              <w:rPr>
                <w:rFonts w:ascii="TimesNewRoman" w:hAnsi="TimesNewRoman"/>
              </w:rPr>
              <w:t>с</w:t>
            </w:r>
            <w:r>
              <w:rPr>
                <w:rFonts w:ascii="TimesNewRoman" w:hAnsi="TimesNewRoman"/>
              </w:rPr>
              <w:t>правления должны быть надлежащим образом заверены. Печати и подписи, а также рекв</w:t>
            </w:r>
            <w:r>
              <w:rPr>
                <w:rFonts w:ascii="TimesNewRoman" w:hAnsi="TimesNewRoman"/>
              </w:rPr>
              <w:t>и</w:t>
            </w:r>
            <w:r>
              <w:rPr>
                <w:rFonts w:ascii="TimesNewRoman" w:hAnsi="TimesNewRoman"/>
              </w:rPr>
              <w:t>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</w:t>
            </w:r>
            <w:r>
              <w:rPr>
                <w:rFonts w:ascii="TimesNewRoman" w:hAnsi="TimesNewRoman"/>
              </w:rPr>
              <w:t>о</w:t>
            </w:r>
            <w:r>
              <w:rPr>
                <w:rFonts w:ascii="TimesNewRoman" w:hAnsi="TimesNewRoman"/>
              </w:rPr>
              <w:t>ся лица).</w:t>
            </w:r>
          </w:p>
          <w:p w14:paraId="27000000">
            <w:pPr>
              <w:ind w:firstLine="567" w:left="0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14:paraId="28000000">
            <w:pPr>
              <w:ind w:firstLine="567" w:left="0"/>
              <w:jc w:val="both"/>
            </w:pPr>
            <w:r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14:paraId="29000000">
            <w:pPr>
              <w:tabs>
                <w:tab w:leader="none" w:pos="540" w:val="left"/>
              </w:tabs>
              <w:ind w:firstLine="567" w:left="0"/>
              <w:jc w:val="both"/>
              <w:outlineLvl w:val="0"/>
            </w:pPr>
            <w:r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</w:t>
            </w:r>
            <w:r>
              <w:t>о</w:t>
            </w:r>
            <w:r>
              <w:t>граммными средствами.</w:t>
            </w:r>
          </w:p>
          <w:p w14:paraId="2A000000">
            <w:pPr>
              <w:tabs>
                <w:tab w:leader="none" w:pos="540" w:val="left"/>
              </w:tabs>
              <w:ind w:firstLine="567" w:left="0"/>
              <w:jc w:val="both"/>
              <w:outlineLvl w:val="0"/>
            </w:pPr>
            <w:r>
              <w:t xml:space="preserve">При приеме заявок от Претендентов Оператор электронной площадки обеспечивает конфиденциальность данных о </w:t>
            </w:r>
            <w:r>
              <w:t>Пр</w:t>
            </w:r>
            <w:r>
              <w:t xml:space="preserve">етендентах и </w:t>
            </w:r>
            <w:r>
              <w:t>у</w:t>
            </w:r>
            <w:r>
              <w:t xml:space="preserve">частниках. </w:t>
            </w:r>
          </w:p>
          <w:p w14:paraId="2B000000">
            <w:pPr>
              <w:tabs>
                <w:tab w:leader="none" w:pos="540" w:val="left"/>
              </w:tabs>
              <w:ind w:firstLine="567" w:left="0"/>
              <w:jc w:val="both"/>
              <w:outlineLvl w:val="0"/>
            </w:pPr>
            <w:r>
              <w:t xml:space="preserve">В течение одного часа со времени поступления заявки </w:t>
            </w:r>
            <w:r>
              <w:t>Оператор электронной площадки</w:t>
            </w:r>
            <w:r>
              <w:t xml:space="preserve"> с</w:t>
            </w:r>
            <w:r>
              <w:t>о</w:t>
            </w:r>
            <w:r>
              <w:t xml:space="preserve">общает Претенденту о ее поступлении путем направления уведомления с приложением электронных копий </w:t>
            </w:r>
          </w:p>
          <w:p w14:paraId="2C000000">
            <w:pPr>
              <w:tabs>
                <w:tab w:leader="none" w:pos="540" w:val="left"/>
              </w:tabs>
              <w:ind/>
              <w:jc w:val="both"/>
              <w:outlineLvl w:val="0"/>
            </w:pPr>
            <w:r>
              <w:t>з</w:t>
            </w:r>
            <w:r>
              <w:t>а</w:t>
            </w:r>
            <w:r>
              <w:t>регистрированной заявки и прилагаемых к ней документов.</w:t>
            </w:r>
          </w:p>
          <w:p w14:paraId="2D000000">
            <w:pPr>
              <w:tabs>
                <w:tab w:leader="none" w:pos="540" w:val="left"/>
              </w:tabs>
              <w:ind w:firstLine="567" w:left="0"/>
              <w:jc w:val="both"/>
              <w:outlineLvl w:val="0"/>
            </w:pPr>
            <w: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14:paraId="2E000000">
            <w:pPr>
              <w:tabs>
                <w:tab w:leader="none" w:pos="540" w:val="left"/>
              </w:tabs>
              <w:ind w:firstLine="567" w:left="0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</w:t>
            </w:r>
            <w:r>
              <w:t>в</w:t>
            </w:r>
            <w:r>
              <w:t>ленные в информационном сообщении сроки о проведении аукциона, при этом первоначальная заявка должна быть отозвана.</w:t>
            </w:r>
          </w:p>
          <w:p w14:paraId="2F000000">
            <w:pPr>
              <w:tabs>
                <w:tab w:leader="none" w:pos="540" w:val="left"/>
              </w:tabs>
              <w:ind w:firstLine="567" w:left="0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</w:t>
            </w:r>
            <w:r>
              <w:t>в</w:t>
            </w:r>
            <w:r>
              <w:t>ляемые одновременно с заявкой, поданы от имени претендента.</w:t>
            </w:r>
          </w:p>
          <w:p w14:paraId="30000000">
            <w:pPr>
              <w:pStyle w:val="Style_8"/>
              <w:ind w:firstLine="567" w:left="0" w:right="0"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  <w:highlight w:val="green"/>
              </w:rPr>
              <w:t>Претендент не допускается к участию в аукционе по следующим основаниям:</w:t>
            </w:r>
          </w:p>
          <w:p w14:paraId="31000000">
            <w:pPr>
              <w:pStyle w:val="Style_8"/>
              <w:ind w:firstLine="567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представленные документы не подтверждают право претендента быть покупателем в соответс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 xml:space="preserve">вии с </w:t>
            </w: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"consultantplus://offline/ref=BC767E132FABCA80E5D8E89BBA81F5C773224245EE3648859B1788C14793711A0B1681896E1FFD4DrCB3Q"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>законодательством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14:paraId="32000000">
            <w:pPr>
              <w:pStyle w:val="Style_8"/>
              <w:ind w:firstLine="567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общении (за исключением предложений о цене муниципального имущества на аукционе), или офор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ление указанных документов не соответствует законодательству Российской Федерации;</w:t>
            </w:r>
          </w:p>
          <w:p w14:paraId="33000000">
            <w:pPr>
              <w:pStyle w:val="Style_8"/>
              <w:ind w:firstLine="567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34000000">
            <w:pPr>
              <w:pStyle w:val="Style_8"/>
              <w:ind w:firstLine="567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</w:t>
            </w:r>
            <w:r>
              <w:rPr>
                <w:rFonts w:ascii="Times New Roman" w:hAnsi="Times New Roman"/>
                <w:sz w:val="24"/>
              </w:rPr>
              <w:t xml:space="preserve"> Оператора</w:t>
            </w:r>
            <w:r>
              <w:rPr>
                <w:rFonts w:ascii="Times New Roman" w:hAnsi="Times New Roman"/>
                <w:sz w:val="24"/>
              </w:rPr>
              <w:t>, указанны</w:t>
            </w:r>
            <w:r>
              <w:rPr>
                <w:rFonts w:ascii="Times New Roman" w:hAnsi="Times New Roman"/>
                <w:sz w:val="24"/>
              </w:rPr>
              <w:t>й</w:t>
            </w:r>
            <w:r>
              <w:rPr>
                <w:rFonts w:ascii="Times New Roman" w:hAnsi="Times New Roman"/>
                <w:sz w:val="24"/>
              </w:rPr>
              <w:t xml:space="preserve"> в информационном сообщении.</w:t>
            </w:r>
          </w:p>
          <w:p w14:paraId="35000000">
            <w:pPr>
              <w:pStyle w:val="Style_8"/>
              <w:ind w:firstLine="567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Перечень оснований отказа претенде</w:t>
            </w:r>
            <w:r>
              <w:rPr>
                <w:rFonts w:ascii="Times New Roman" w:hAnsi="Times New Roman"/>
                <w:color w:val="000000"/>
                <w:sz w:val="22"/>
              </w:rPr>
              <w:t>н</w:t>
            </w:r>
            <w:r>
              <w:rPr>
                <w:rFonts w:ascii="Times New Roman" w:hAnsi="Times New Roman"/>
                <w:color w:val="000000"/>
                <w:sz w:val="22"/>
              </w:rPr>
              <w:t>ту в участии в аукционе является исчерпывающим.</w:t>
            </w:r>
          </w:p>
          <w:p w14:paraId="36000000">
            <w:pPr>
              <w:tabs>
                <w:tab w:leader="none" w:pos="540" w:val="left"/>
              </w:tabs>
              <w:ind w:firstLine="567" w:left="0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</w:t>
            </w:r>
            <w:r>
              <w:t>и</w:t>
            </w:r>
            <w:r>
              <w:t>знании Претендентов участниками, в котором приводится перечень принятых заявок (с указ</w:t>
            </w:r>
            <w:r>
              <w:t>а</w:t>
            </w:r>
            <w:r>
              <w:t>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</w:t>
            </w:r>
            <w:r>
              <w:t>о</w:t>
            </w:r>
            <w:r>
              <w:t>пуске к участию в аукционе, с указанием оснований такого отказа.</w:t>
            </w:r>
          </w:p>
          <w:p w14:paraId="37000000">
            <w:pPr>
              <w:tabs>
                <w:tab w:leader="none" w:pos="0" w:val="left"/>
              </w:tabs>
              <w:ind w:firstLine="567" w:left="0"/>
              <w:jc w:val="both"/>
              <w:outlineLvl w:val="0"/>
            </w:pPr>
            <w:r>
              <w:t>Претендент приобретает статус участника аукциона с момента подписания протокола о призн</w:t>
            </w:r>
            <w:r>
              <w:t>а</w:t>
            </w:r>
            <w:r>
              <w:t>нии Претендентов участниками аукциона.</w:t>
            </w:r>
          </w:p>
          <w:p w14:paraId="38000000">
            <w:pPr>
              <w:tabs>
                <w:tab w:leader="none" w:pos="0" w:val="left"/>
              </w:tabs>
              <w:ind w:firstLine="567" w:left="0"/>
              <w:jc w:val="both"/>
              <w:outlineLvl w:val="0"/>
            </w:pPr>
            <w:r>
              <w:t>Не позднее следующего рабочего дня после дня подписания протокола о признании Прете</w:t>
            </w:r>
            <w:r>
              <w:t>н</w:t>
            </w:r>
            <w:r>
              <w:t>дентов участниками всем Претендентам, подавшим заявки, направляется уведомление о признании их учас</w:t>
            </w:r>
            <w:r>
              <w:t>т</w:t>
            </w:r>
            <w:r>
              <w:t>никами аукциона или об отказе в признании участниками аукциона с указанием о</w:t>
            </w:r>
            <w:r>
              <w:t>с</w:t>
            </w:r>
            <w:r>
              <w:t xml:space="preserve">нований отказа. </w:t>
            </w:r>
          </w:p>
          <w:p w14:paraId="39000000">
            <w:pPr>
              <w:tabs>
                <w:tab w:leader="none" w:pos="0" w:val="left"/>
              </w:tabs>
              <w:ind w:firstLine="567" w:left="0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  <w:p w14:paraId="3A000000">
            <w:pPr>
              <w:ind w:firstLine="567" w:left="0"/>
              <w:jc w:val="both"/>
              <w:rPr>
                <w:u w:val="single"/>
              </w:rPr>
            </w:pPr>
            <w:r>
              <w:t>Информация о Претендентах, не допущенных к участию в аукционе, размещается в открытой ча</w:t>
            </w:r>
            <w:r>
              <w:t>с</w:t>
            </w:r>
            <w:r>
              <w:t xml:space="preserve">ти электронной площадки, на официальном сайте Российской Федерации для размещения информации о проведении торгов </w:t>
            </w:r>
            <w:r>
              <w:fldChar w:fldCharType="begin"/>
            </w:r>
            <w:r>
              <w:instrText>HYPERLINK "http://www.torgi.gov.ru"</w:instrText>
            </w:r>
            <w:r>
              <w:fldChar w:fldCharType="separate"/>
            </w:r>
            <w:r>
              <w:t>www.torgi.gov.ru</w:t>
            </w:r>
            <w:r>
              <w:fldChar w:fldCharType="end"/>
            </w:r>
            <w:r>
              <w:t xml:space="preserve">, </w:t>
            </w:r>
            <w:r>
              <w:t>на официальном сайте</w:t>
            </w:r>
            <w:r>
              <w:t xml:space="preserve"> администрации муниципального образ</w:t>
            </w:r>
            <w:r>
              <w:t>о</w:t>
            </w:r>
            <w:r>
              <w:t xml:space="preserve">вания Красноармейский район </w:t>
            </w:r>
            <w:r>
              <w:rPr>
                <w:rStyle w:val="Style_3_ch"/>
              </w:rPr>
              <w:fldChar w:fldCharType="begin"/>
            </w:r>
            <w:r>
              <w:rPr>
                <w:rStyle w:val="Style_3_ch"/>
              </w:rPr>
              <w:instrText>HYPERLINK "http://www.krasnarm.ru"</w:instrText>
            </w:r>
            <w:r>
              <w:rPr>
                <w:rStyle w:val="Style_3_ch"/>
              </w:rPr>
              <w:fldChar w:fldCharType="separate"/>
            </w:r>
            <w:r>
              <w:rPr>
                <w:rStyle w:val="Style_3_ch"/>
              </w:rPr>
              <w:t>www.krasnarm.ru</w:t>
            </w:r>
            <w:r>
              <w:rPr>
                <w:rStyle w:val="Style_3_ch"/>
              </w:rPr>
              <w:fldChar w:fldCharType="end"/>
            </w:r>
            <w:r>
              <w:rPr>
                <w:highlight w:val="yellow"/>
              </w:rPr>
              <w:t>.</w:t>
            </w:r>
          </w:p>
          <w:p w14:paraId="3B000000">
            <w:pPr>
              <w:pStyle w:val="Style_9"/>
              <w:widowControl w:val="0"/>
              <w:ind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14:paraId="3C000000">
            <w:pPr>
              <w:pStyle w:val="Style_9"/>
              <w:widowControl w:val="0"/>
              <w:ind w:firstLine="567" w:left="0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занной в информационном сообщении о продаже муниципального имущества.</w:t>
            </w:r>
          </w:p>
          <w:p w14:paraId="3D000000">
            <w:pPr>
              <w:pStyle w:val="Style_9"/>
              <w:widowControl w:val="0"/>
              <w:ind w:firstLine="567" w:left="0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14:paraId="3E000000">
            <w:pPr>
              <w:pStyle w:val="Style_9"/>
              <w:widowControl w:val="0"/>
              <w:ind w:firstLine="567" w:left="0"/>
              <w:jc w:val="both"/>
              <w:rPr>
                <w:sz w:val="24"/>
              </w:rPr>
            </w:pPr>
            <w:r>
              <w:rPr>
                <w:sz w:val="24"/>
              </w:rPr>
              <w:t>Срок внесения задатка определяется в соответствии с регламентом оператора электронной пл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щадки.</w:t>
            </w:r>
            <w:r>
              <w:rPr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Задаток перечисляется на счет оп</w:t>
            </w:r>
            <w:r>
              <w:rPr>
                <w:color w:val="000000"/>
                <w:sz w:val="24"/>
              </w:rPr>
              <w:t>ератор</w:t>
            </w:r>
            <w:r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 xml:space="preserve"> электронной площадки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АО «Сбербанк-АСТ».</w:t>
            </w:r>
          </w:p>
          <w:p w14:paraId="3F000000">
            <w:pPr>
              <w:ind w:firstLine="567" w:left="0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14:paraId="40000000">
            <w:pPr>
              <w:ind w:firstLine="567" w:left="0"/>
              <w:jc w:val="both"/>
              <w:outlineLvl w:val="0"/>
            </w:pPr>
            <w:r>
              <w:t>Оператор электронной площадки</w:t>
            </w:r>
            <w:r>
              <w:t xml:space="preserve"> проверяет наличие достаточной суммы в размере задатка на л</w:t>
            </w:r>
            <w:r>
              <w:t>и</w:t>
            </w:r>
            <w:r>
              <w:t>цевом счете Претендента и осуществляет блокирование необходимой суммы. Если дене</w:t>
            </w:r>
            <w:r>
              <w:t>ж</w:t>
            </w:r>
            <w:r>
              <w:t>ных средств на лицевом счете Претендента недостаточно для произведения операции блокиров</w:t>
            </w:r>
            <w:r>
              <w:t>а</w:t>
            </w:r>
            <w:r>
              <w:t>ния, то Претенденту для обеспечения своевременного поступления денежных средств необходимо учитывать, что пост</w:t>
            </w:r>
            <w:r>
              <w:t>у</w:t>
            </w:r>
            <w:r>
              <w:t>пившие в банк за предыдущий день платежи разносятся на лицевые счета в сроки, установленные Ре</w:t>
            </w:r>
            <w:r>
              <w:t>г</w:t>
            </w:r>
            <w:r>
              <w:t>ламентом электронной площадки.</w:t>
            </w:r>
          </w:p>
          <w:p w14:paraId="41000000">
            <w:pPr>
              <w:ind w:firstLine="567" w:left="0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Style w:val="Style_1"/>
              <w:tblW w:type="auto" w:w="0"/>
              <w:tblBorders>
                <w:top w:color="000000" w:sz="4" w:val="single"/>
                <w:left w:color="000000" w:sz="4" w:val="single"/>
                <w:bottom w:color="000000" w:sz="4" w:val="single"/>
                <w:right w:color="000000" w:sz="4" w:val="single"/>
                <w:insideH w:color="000000" w:sz="4" w:val="single"/>
                <w:insideV w:color="000000" w:sz="4" w:val="single"/>
              </w:tblBorders>
              <w:tblLayout w:type="fixed"/>
              <w:tblCellMar>
                <w:left w:type="dxa" w:w="0"/>
                <w:right w:type="dxa" w:w="0"/>
              </w:tblCellMar>
            </w:tblPr>
            <w:tblGrid>
              <w:gridCol w:w="3256"/>
              <w:gridCol w:w="6955"/>
            </w:tblGrid>
            <w:tr>
              <w:trPr>
                <w:trHeight w:hRule="atLeast" w:val="203"/>
              </w:trP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2000000">
                  <w:pPr>
                    <w:pStyle w:val="Style_10"/>
                    <w:ind w:firstLine="567" w:left="0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Получатель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3000000">
                  <w:pPr>
                    <w:ind w:firstLine="567" w:left="0"/>
                  </w:pPr>
                  <w:r>
                    <w:t> </w:t>
                  </w:r>
                </w:p>
              </w:tc>
            </w:tr>
            <w:t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4000000">
                  <w:pPr>
                    <w:ind w:firstLine="567" w:left="0"/>
                  </w:pPr>
                  <w:r>
                    <w:t>Наименование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5000000">
                  <w:pPr>
                    <w:ind w:firstLine="567" w:left="0"/>
                  </w:pPr>
                  <w:r>
                    <w:t>АО "Сбербанк-АСТ"</w:t>
                  </w:r>
                </w:p>
              </w:tc>
            </w:tr>
            <w:t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6000000">
                  <w:pPr>
                    <w:ind w:firstLine="567" w:left="0"/>
                  </w:pPr>
                  <w:r>
                    <w:t>ИНН: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7000000">
                  <w:pPr>
                    <w:ind w:firstLine="567" w:left="0"/>
                  </w:pPr>
                  <w:r>
                    <w:t>7707308480</w:t>
                  </w:r>
                </w:p>
              </w:tc>
            </w:tr>
            <w:t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8000000">
                  <w:pPr>
                    <w:ind w:firstLine="567" w:left="0"/>
                  </w:pPr>
                  <w:r>
                    <w:t>КПП: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9000000">
                  <w:pPr>
                    <w:ind w:firstLine="567" w:left="0"/>
                  </w:pPr>
                  <w:r>
                    <w:t>770</w:t>
                  </w:r>
                  <w:r>
                    <w:t>4</w:t>
                  </w:r>
                  <w:r>
                    <w:t>01001</w:t>
                  </w:r>
                </w:p>
              </w:tc>
            </w:tr>
            <w:t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A000000">
                  <w:pPr>
                    <w:ind w:firstLine="567" w:left="0"/>
                  </w:pPr>
                  <w:r>
                    <w:t>Расчетный счет: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B000000">
                  <w:pPr>
                    <w:ind w:firstLine="567" w:left="0"/>
                  </w:pPr>
                  <w:r>
                    <w:t>40702810300020038047</w:t>
                  </w:r>
                </w:p>
              </w:tc>
            </w:tr>
            <w:tr>
              <w:trPr>
                <w:trHeight w:hRule="atLeast" w:val="183"/>
              </w:trP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C000000">
                  <w:pPr>
                    <w:pStyle w:val="Style_10"/>
                    <w:ind w:firstLine="567" w:left="0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Банк получателя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D000000">
                  <w:pPr>
                    <w:ind w:firstLine="567" w:left="0"/>
                  </w:pPr>
                  <w:r>
                    <w:t> </w:t>
                  </w:r>
                </w:p>
              </w:tc>
            </w:tr>
            <w:t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E000000">
                  <w:pPr>
                    <w:ind w:firstLine="567" w:left="0"/>
                  </w:pPr>
                  <w:r>
                    <w:t>Наименование банка: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4F000000">
                  <w:pPr>
                    <w:ind w:firstLine="567" w:left="0"/>
                  </w:pPr>
                  <w:r>
                    <w:t>ПАО"СБЕРБАНК РОССИИ" г. МОСКВА</w:t>
                  </w:r>
                </w:p>
              </w:tc>
            </w:tr>
            <w:t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50000000">
                  <w:pPr>
                    <w:ind w:firstLine="567" w:left="0"/>
                  </w:pPr>
                  <w:r>
                    <w:t>БИК: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51000000">
                  <w:pPr>
                    <w:ind w:firstLine="567" w:left="0"/>
                  </w:pPr>
                  <w:r>
                    <w:t>044525225</w:t>
                  </w:r>
                </w:p>
              </w:tc>
            </w:tr>
            <w:tr>
              <w:tc>
                <w:tcPr>
                  <w:tcW w:type="dxa" w:w="3256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52000000">
                  <w:pPr>
                    <w:ind w:firstLine="567" w:left="0"/>
                  </w:pPr>
                  <w:r>
                    <w:t>Корреспондентский счет:</w:t>
                  </w:r>
                </w:p>
              </w:tc>
              <w:tc>
                <w:tcPr>
                  <w:tcW w:type="dxa" w:w="695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left w:type="dxa" w:w="0"/>
                    <w:right w:type="dxa" w:w="0"/>
                  </w:tcMar>
                </w:tcPr>
                <w:p w14:paraId="53000000">
                  <w:pPr>
                    <w:ind w:firstLine="567" w:left="0"/>
                  </w:pPr>
                  <w:r>
                    <w:t>30101810400000000225</w:t>
                  </w:r>
                </w:p>
              </w:tc>
            </w:tr>
          </w:tbl>
          <w:p w14:paraId="54000000">
            <w:pPr>
              <w:pStyle w:val="Style_9"/>
              <w:widowControl w:val="0"/>
              <w:ind w:firstLine="567" w:left="0"/>
              <w:jc w:val="both"/>
              <w:rPr>
                <w:sz w:val="24"/>
              </w:rPr>
            </w:pPr>
            <w:r>
              <w:rPr>
                <w:sz w:val="24"/>
              </w:rPr>
              <w:t>В назначении платежа необходимо указание «перечисление денежных средств в качестве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датк</w:t>
            </w:r>
            <w:r>
              <w:rPr>
                <w:sz w:val="24"/>
              </w:rPr>
              <w:t>а (депозита) (ИНН плательщика)», а так же  указывать  «без НДС или НДС не облагается».</w:t>
            </w:r>
          </w:p>
          <w:p w14:paraId="55000000">
            <w:pPr>
              <w:ind w:firstLine="567" w:left="0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</w:t>
            </w:r>
            <w:r>
              <w:t>а</w:t>
            </w:r>
            <w:r>
              <w:t>кого Участника на УТП.</w:t>
            </w:r>
          </w:p>
          <w:p w14:paraId="56000000">
            <w:pPr>
              <w:ind w:firstLine="567" w:left="0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r>
              <w:rPr>
                <w:u w:val="single"/>
              </w:rPr>
              <w:fldChar w:fldCharType="begin"/>
            </w:r>
            <w:r>
              <w:rPr>
                <w:u w:val="single"/>
              </w:rPr>
              <w:instrText>HYPERLINK "http://utp.sberbank-ast.ru/AP/Notice/653/Requisites"</w:instrText>
            </w:r>
            <w:r>
              <w:rPr>
                <w:u w:val="single"/>
              </w:rPr>
              <w:fldChar w:fldCharType="separate"/>
            </w:r>
            <w:r>
              <w:rPr>
                <w:u w:val="single"/>
              </w:rPr>
              <w:t>http://utp.sberbank-</w:t>
            </w:r>
            <w:r>
              <w:rPr>
                <w:u w:val="single"/>
              </w:rPr>
              <w:t>ast.ru/AP/Notice/653/Requisites</w:t>
            </w:r>
            <w:r>
              <w:rPr>
                <w:u w:val="single"/>
              </w:rPr>
              <w:fldChar w:fldCharType="end"/>
            </w:r>
          </w:p>
          <w:p w14:paraId="57000000">
            <w:pPr>
              <w:ind w:firstLine="567" w:left="0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14:paraId="58000000">
            <w:pPr>
              <w:ind w:firstLine="567" w:left="0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</w:t>
            </w:r>
            <w:r>
              <w:t>ю</w:t>
            </w:r>
            <w:r>
              <w:t>чение указанного договора, задаток ему не возвращается.</w:t>
            </w:r>
          </w:p>
          <w:p w14:paraId="59000000">
            <w:pPr>
              <w:pStyle w:val="Style_11"/>
              <w:ind w:firstLine="567" w:left="0"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Данное информационное сообщение является публичной офертой для заключения д</w:t>
            </w:r>
            <w:r>
              <w:rPr>
                <w:rFonts w:ascii="Times New Roman" w:hAnsi="Times New Roman"/>
                <w:b w:val="1"/>
                <w:sz w:val="24"/>
              </w:rPr>
              <w:t>о</w:t>
            </w:r>
            <w:r>
              <w:rPr>
                <w:rFonts w:ascii="Times New Roman" w:hAnsi="Times New Roman"/>
                <w:b w:val="1"/>
                <w:sz w:val="24"/>
              </w:rPr>
              <w:t xml:space="preserve">говора о задатке в соответствии со </w:t>
            </w:r>
            <w:r>
              <w:rPr>
                <w:rFonts w:ascii="Times New Roman" w:hAnsi="Times New Roman"/>
                <w:b w:val="1"/>
                <w:sz w:val="24"/>
              </w:rPr>
              <w:fldChar w:fldCharType="begin"/>
            </w:r>
            <w:r>
              <w:rPr>
                <w:rFonts w:ascii="Times New Roman" w:hAnsi="Times New Roman"/>
                <w:b w:val="1"/>
                <w:sz w:val="24"/>
              </w:rPr>
              <w:instrText>HYPERLINK "consultantplus://offline/ref=A10F5D937D850D81206C84D1299789FB165035802CFCC36DD343B7EAA5B15203F1A2275EC6233CD8L2b7L"</w:instrText>
            </w:r>
            <w:r>
              <w:rPr>
                <w:rFonts w:ascii="Times New Roman" w:hAnsi="Times New Roman"/>
                <w:b w:val="1"/>
                <w:sz w:val="24"/>
              </w:rPr>
              <w:fldChar w:fldCharType="separate"/>
            </w:r>
            <w:r>
              <w:rPr>
                <w:rFonts w:ascii="Times New Roman" w:hAnsi="Times New Roman"/>
                <w:b w:val="1"/>
                <w:sz w:val="24"/>
              </w:rPr>
              <w:t>статьей 437</w:t>
            </w:r>
            <w:r>
              <w:rPr>
                <w:rFonts w:ascii="Times New Roman" w:hAnsi="Times New Roman"/>
                <w:b w:val="1"/>
                <w:sz w:val="24"/>
              </w:rPr>
              <w:fldChar w:fldCharType="end"/>
            </w:r>
            <w:r>
              <w:rPr>
                <w:rFonts w:ascii="Times New Roman" w:hAnsi="Times New Roman"/>
                <w:b w:val="1"/>
                <w:sz w:val="24"/>
              </w:rPr>
              <w:t xml:space="preserve"> Гражданского кодекса Российской Федер</w:t>
            </w:r>
            <w:r>
              <w:rPr>
                <w:rFonts w:ascii="Times New Roman" w:hAnsi="Times New Roman"/>
                <w:b w:val="1"/>
                <w:sz w:val="24"/>
              </w:rPr>
              <w:t>а</w:t>
            </w:r>
            <w:r>
              <w:rPr>
                <w:rFonts w:ascii="Times New Roman" w:hAnsi="Times New Roman"/>
                <w:b w:val="1"/>
                <w:sz w:val="24"/>
              </w:rPr>
              <w:t>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</w:t>
            </w:r>
            <w:r>
              <w:rPr>
                <w:rFonts w:ascii="Times New Roman" w:hAnsi="Times New Roman"/>
                <w:b w:val="1"/>
                <w:sz w:val="24"/>
              </w:rPr>
              <w:t>н</w:t>
            </w:r>
            <w:r>
              <w:rPr>
                <w:rFonts w:ascii="Times New Roman" w:hAnsi="Times New Roman"/>
                <w:b w:val="1"/>
                <w:sz w:val="24"/>
              </w:rPr>
              <w:t>ной форме на условиях настоящего информационного сообщения.</w:t>
            </w:r>
          </w:p>
          <w:p w14:paraId="5A000000">
            <w:pPr>
              <w:pStyle w:val="Style_12"/>
              <w:spacing w:before="0"/>
              <w:ind w:firstLine="567" w:left="0"/>
              <w:jc w:val="both"/>
              <w:outlineLvl w:val="0"/>
              <w:rPr>
                <w:b w:val="0"/>
                <w:i w:val="1"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</w:t>
            </w:r>
            <w:r>
              <w:rPr>
                <w:b w:val="0"/>
                <w:sz w:val="24"/>
              </w:rPr>
              <w:t>я</w:t>
            </w:r>
            <w:r>
              <w:rPr>
                <w:b w:val="0"/>
                <w:sz w:val="24"/>
              </w:rPr>
              <w:t>ются в соответствии с Регламентом электронной площадки.</w:t>
            </w:r>
          </w:p>
          <w:p w14:paraId="5B000000">
            <w:pPr>
              <w:pStyle w:val="Style_11"/>
              <w:ind w:firstLine="567"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</w:t>
            </w: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ных дней с даты подведения итогов аукциона. Задаток, перечисленный победителем аукциона, засч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тывается в сумму платежа по договору купли-продажи.</w:t>
            </w:r>
          </w:p>
          <w:p w14:paraId="5C000000">
            <w:pPr>
              <w:pStyle w:val="Style_11"/>
              <w:ind w:firstLine="567"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ного договора.</w:t>
            </w:r>
          </w:p>
          <w:p w14:paraId="5D000000">
            <w:pPr>
              <w:pStyle w:val="Style_11"/>
              <w:ind w:firstLine="567"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14:paraId="5E000000">
            <w:pPr>
              <w:pStyle w:val="Style_11"/>
              <w:ind w:firstLine="567"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вии с действующим налоговым законодательством Российской Федерации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F000000">
            <w:pPr>
              <w:pStyle w:val="Style_13"/>
              <w:ind w:firstLine="0" w:left="0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14:paraId="60000000">
            <w:pPr>
              <w:ind w:firstLine="567" w:left="0"/>
              <w:jc w:val="both"/>
              <w:rPr>
                <w:u w:val="single"/>
              </w:rPr>
            </w:pPr>
            <w:r>
              <w:t xml:space="preserve">Информационное сообщение о проведении электронного аукциона, а также образец договора </w:t>
            </w:r>
            <w:r>
              <w:t>к</w:t>
            </w:r>
            <w:r>
              <w:t>у</w:t>
            </w:r>
            <w:r>
              <w:t>пли-продажи имущества</w:t>
            </w:r>
            <w:r>
              <w:t xml:space="preserve"> </w:t>
            </w:r>
            <w:r>
              <w:t>размещается</w:t>
            </w:r>
            <w:r>
              <w:t xml:space="preserve"> </w:t>
            </w:r>
            <w:r>
              <w:t>на официальн</w:t>
            </w:r>
            <w:r>
              <w:t>ом</w:t>
            </w:r>
            <w:r>
              <w:t xml:space="preserve"> сайт</w:t>
            </w:r>
            <w:r>
              <w:t>е</w:t>
            </w:r>
            <w:r>
              <w:t xml:space="preserve"> Российской Федерации для размещения информации о проведении торгов </w:t>
            </w:r>
            <w:r>
              <w:rPr>
                <w:rStyle w:val="Style_3_ch"/>
              </w:rPr>
              <w:fldChar w:fldCharType="begin"/>
            </w:r>
            <w:r>
              <w:rPr>
                <w:rStyle w:val="Style_3_ch"/>
              </w:rPr>
              <w:instrText>HYPERLINK "http://www.torgi.gov.ru"</w:instrText>
            </w:r>
            <w:r>
              <w:rPr>
                <w:rStyle w:val="Style_3_ch"/>
              </w:rPr>
              <w:fldChar w:fldCharType="separate"/>
            </w:r>
            <w:r>
              <w:rPr>
                <w:rStyle w:val="Style_3_ch"/>
              </w:rPr>
              <w:t>www.torgi.gov.ru</w:t>
            </w:r>
            <w:r>
              <w:rPr>
                <w:rStyle w:val="Style_3_ch"/>
              </w:rPr>
              <w:fldChar w:fldCharType="end"/>
            </w:r>
            <w:r>
              <w:t xml:space="preserve">, </w:t>
            </w:r>
            <w:r>
              <w:t xml:space="preserve"> </w:t>
            </w:r>
            <w:r>
              <w:t xml:space="preserve"> </w:t>
            </w:r>
            <w:r>
              <w:t>на официальном сайте администрации муниц</w:t>
            </w:r>
            <w:r>
              <w:t>и</w:t>
            </w:r>
            <w:r>
              <w:t xml:space="preserve">пального образования Красноармейский район </w:t>
            </w:r>
            <w:r>
              <w:rPr>
                <w:rStyle w:val="Style_3_ch"/>
              </w:rPr>
              <w:fldChar w:fldCharType="begin"/>
            </w:r>
            <w:r>
              <w:rPr>
                <w:rStyle w:val="Style_3_ch"/>
              </w:rPr>
              <w:instrText>HYPERLINK "http://www.krasnarm.ru"</w:instrText>
            </w:r>
            <w:r>
              <w:rPr>
                <w:rStyle w:val="Style_3_ch"/>
              </w:rPr>
              <w:fldChar w:fldCharType="separate"/>
            </w:r>
            <w:r>
              <w:rPr>
                <w:rStyle w:val="Style_3_ch"/>
              </w:rPr>
              <w:t>www.krasnarm.ru</w:t>
            </w:r>
            <w:r>
              <w:rPr>
                <w:rStyle w:val="Style_3_ch"/>
              </w:rPr>
              <w:fldChar w:fldCharType="end"/>
            </w:r>
            <w:r>
              <w:t>, и</w:t>
            </w:r>
            <w:r>
              <w:t xml:space="preserve"> </w:t>
            </w:r>
            <w:r>
              <w:t>в открытой для доступа неогран</w:t>
            </w:r>
            <w:r>
              <w:t>и</w:t>
            </w:r>
            <w:r>
              <w:t xml:space="preserve">ченного круга лиц части электронной площадки </w:t>
            </w:r>
            <w:r>
              <w:t xml:space="preserve">на сайте </w:t>
            </w:r>
            <w:r>
              <w:rPr>
                <w:rStyle w:val="Style_3_ch"/>
              </w:rPr>
              <w:fldChar w:fldCharType="begin"/>
            </w:r>
            <w:r>
              <w:rPr>
                <w:rStyle w:val="Style_3_ch"/>
              </w:rPr>
              <w:instrText>HYPERLINK "http://utp.sberbank-ast.ru"</w:instrText>
            </w:r>
            <w:r>
              <w:rPr>
                <w:rStyle w:val="Style_3_ch"/>
              </w:rPr>
              <w:fldChar w:fldCharType="separate"/>
            </w:r>
            <w:r>
              <w:rPr>
                <w:rStyle w:val="Style_3_ch"/>
              </w:rPr>
              <w:t>http://utp.sberbank-ast.ru</w:t>
            </w:r>
            <w:r>
              <w:rPr>
                <w:rStyle w:val="Style_3_ch"/>
              </w:rPr>
              <w:fldChar w:fldCharType="end"/>
            </w:r>
            <w:r>
              <w:t>.</w:t>
            </w:r>
          </w:p>
          <w:p w14:paraId="61000000">
            <w:pPr>
              <w:ind w:firstLine="567" w:left="0"/>
              <w:jc w:val="both"/>
            </w:pPr>
            <w:r>
              <w:t>Любое заинтересованное лицо независимо от регистрации на электронной площадке со дня нач</w:t>
            </w:r>
            <w:r>
              <w:t>а</w:t>
            </w:r>
            <w:r>
              <w:t xml:space="preserve">ла приема заявок вправе направить на электронный адрес </w:t>
            </w:r>
            <w:r>
              <w:t>Оператор</w:t>
            </w:r>
            <w:r>
              <w:t>а</w:t>
            </w:r>
            <w:r>
              <w:t xml:space="preserve"> электронной площадки</w:t>
            </w:r>
            <w:r>
              <w:t xml:space="preserve"> запрос о разъяснении размещенной информации.</w:t>
            </w:r>
          </w:p>
          <w:p w14:paraId="62000000">
            <w:pPr>
              <w:ind w:firstLine="567" w:left="0"/>
              <w:jc w:val="both"/>
              <w:outlineLvl w:val="0"/>
            </w:pPr>
            <w:r>
              <w:t>Такой запрос в режиме реального времени направляется в «личный кабинет» Продавца для ра</w:t>
            </w:r>
            <w:r>
              <w:t>с</w:t>
            </w:r>
            <w:r>
              <w:t>смотрения при условии, что запрос поступил Продавцу торгов не позднее 5 (пяти) рабочих дней до д</w:t>
            </w:r>
            <w:r>
              <w:t>а</w:t>
            </w:r>
            <w:r>
              <w:t>ты окончания подачи заявок.</w:t>
            </w:r>
          </w:p>
          <w:p w14:paraId="63000000">
            <w:pPr>
              <w:ind w:firstLine="567" w:left="0"/>
              <w:jc w:val="both"/>
              <w:outlineLvl w:val="0"/>
            </w:pPr>
            <w:r>
              <w:t xml:space="preserve">В течение 2 (двух) рабочих дней со дня поступления запроса Продавец предоставляет </w:t>
            </w:r>
            <w:r>
              <w:t>Оператор</w:t>
            </w:r>
            <w:r>
              <w:t>у</w:t>
            </w:r>
            <w:r>
              <w:t xml:space="preserve"> электронной площадки</w:t>
            </w:r>
            <w:r>
      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64000000">
            <w:pPr>
              <w:ind w:firstLine="567" w:left="0"/>
              <w:jc w:val="both"/>
              <w:outlineLvl w:val="0"/>
            </w:pPr>
            <w:r>
              <w:t xml:space="preserve">Любое заинтересованное лицо независимо от регистрации на электронной площадке со дня начала приема </w:t>
            </w:r>
            <w:r>
              <w:t>заявок вправе</w:t>
            </w:r>
            <w:r>
              <w:t xml:space="preserve"> осмотреть выставленн</w:t>
            </w:r>
            <w:r>
              <w:t>ые</w:t>
            </w:r>
            <w:r>
              <w:t xml:space="preserve"> на </w:t>
            </w:r>
            <w:r>
              <w:t>продажу объекты недвижимости.</w:t>
            </w:r>
            <w:r>
              <w:t xml:space="preserve"> </w:t>
            </w:r>
          </w:p>
          <w:p w14:paraId="65000000">
            <w:pPr>
              <w:ind w:firstLine="567" w:left="0"/>
              <w:jc w:val="both"/>
            </w:pPr>
            <w:r>
              <w:t>Проведение показа имущества осуществляется</w:t>
            </w:r>
            <w:r>
              <w:t xml:space="preserve"> </w:t>
            </w:r>
            <w:r>
              <w:t xml:space="preserve">по рабочим дням с </w:t>
            </w:r>
            <w:r>
              <w:t>8</w:t>
            </w:r>
            <w:r>
              <w:t xml:space="preserve"> часов 00 минут до 1</w:t>
            </w:r>
            <w:r>
              <w:t>2</w:t>
            </w:r>
            <w:r>
              <w:t xml:space="preserve"> часов 00 минут и  с 1</w:t>
            </w:r>
            <w:r>
              <w:t>3</w:t>
            </w:r>
            <w:r>
              <w:t xml:space="preserve"> часов 00 минут до 1</w:t>
            </w:r>
            <w:r>
              <w:t>6</w:t>
            </w:r>
            <w:r>
              <w:t xml:space="preserve"> часов 00 минут по местному времени,  по адресу: </w:t>
            </w:r>
            <w:r>
              <w:t>353</w:t>
            </w:r>
            <w:r>
              <w:t>800</w:t>
            </w:r>
            <w:r>
              <w:t xml:space="preserve">, </w:t>
            </w:r>
            <w:r>
              <w:t>Красн</w:t>
            </w:r>
            <w:r>
              <w:t>о</w:t>
            </w:r>
            <w:r>
              <w:t>дарский край, Красноармейский район</w:t>
            </w:r>
            <w:r>
              <w:t>,</w:t>
            </w:r>
            <w:r>
              <w:t xml:space="preserve"> станица Полтавская</w:t>
            </w:r>
            <w:r>
              <w:t xml:space="preserve"> ул. </w:t>
            </w:r>
            <w:r>
              <w:t>Просвещения, 107Б</w:t>
            </w:r>
            <w:r>
              <w:t xml:space="preserve">, </w:t>
            </w:r>
            <w:r>
              <w:rPr>
                <w:color w:val="000000"/>
              </w:rPr>
              <w:t>1-ий этаж, кабинет № 3</w:t>
            </w:r>
            <w:r>
              <w:t xml:space="preserve">. Телефон для справок </w:t>
            </w:r>
            <w:r>
              <w:t xml:space="preserve">8 </w:t>
            </w:r>
            <w:r>
              <w:t>(</w:t>
            </w:r>
            <w:r>
              <w:t>86165</w:t>
            </w:r>
            <w:r>
              <w:t xml:space="preserve">) </w:t>
            </w:r>
            <w:r>
              <w:t>3-25-57</w:t>
            </w:r>
            <w:r>
              <w:t>.</w:t>
            </w:r>
          </w:p>
          <w:p w14:paraId="66000000">
            <w:pPr>
              <w:ind w:firstLine="567" w:left="0"/>
              <w:jc w:val="both"/>
            </w:pPr>
            <w:r>
              <w:t xml:space="preserve">С документацией по продаваемым объектам, условиями договора купли-продажи имущества можно ознакомиться </w:t>
            </w:r>
            <w:r>
              <w:t xml:space="preserve"> </w:t>
            </w:r>
            <w:r>
              <w:t>у Продавца</w:t>
            </w:r>
            <w:r>
              <w:rPr>
                <w:color w:val="000000"/>
              </w:rPr>
              <w:t xml:space="preserve">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</w:t>
            </w:r>
            <w:r>
              <w:rPr>
                <w:color w:val="FF0000"/>
              </w:rPr>
              <w:t xml:space="preserve">                </w:t>
            </w:r>
            <w:r>
              <w:rPr>
                <w:color w:val="FF0000"/>
              </w:rPr>
              <w:t xml:space="preserve"> 16 ч</w:t>
            </w:r>
            <w:r>
              <w:rPr>
                <w:color w:val="FF0000"/>
              </w:rPr>
              <w:t>а</w:t>
            </w:r>
            <w:r>
              <w:rPr>
                <w:color w:val="FF0000"/>
              </w:rPr>
              <w:t xml:space="preserve">сов 00 минут. </w:t>
            </w:r>
            <w:r>
              <w:t>Теле</w:t>
            </w:r>
            <w:r>
              <w:t>фон для справок 8 (86165) 3-25-57</w:t>
            </w:r>
            <w:r>
              <w:t>.</w:t>
            </w:r>
          </w:p>
          <w:p w14:paraId="67000000">
            <w:pPr>
              <w:pStyle w:val="Style_13"/>
              <w:tabs>
                <w:tab w:leader="none" w:pos="0" w:val="left"/>
              </w:tabs>
              <w:ind w:firstLine="567" w:left="0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14:paraId="68000000">
            <w:pPr>
              <w:pStyle w:val="Style_13"/>
              <w:ind w:firstLine="0" w:left="0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14:paraId="69000000">
            <w:pPr>
              <w:ind w:firstLine="567" w:left="0"/>
              <w:jc w:val="both"/>
            </w:pPr>
            <w:r>
              <w:t xml:space="preserve">Электронный аукцион проводится в указанные в информационном сообщении день и час </w:t>
            </w:r>
            <w:r>
              <w:t>путем последовательного повышения участниками начальной цены продажи на величину, равную либо кра</w:t>
            </w:r>
            <w:r>
              <w:t>т</w:t>
            </w:r>
            <w:r>
              <w:t>ную величине «шага аукциона».</w:t>
            </w:r>
          </w:p>
          <w:p w14:paraId="6A000000">
            <w:pPr>
              <w:ind w:firstLine="567" w:left="0"/>
              <w:jc w:val="both"/>
            </w:pPr>
            <w:r>
              <w:t>«Шаг аукциона» устанавливается Продавцом в фиксированной сумме и не изменяется в течение всего аукциона.</w:t>
            </w:r>
          </w:p>
          <w:p w14:paraId="6B000000">
            <w:pPr>
              <w:ind w:firstLine="567" w:left="0"/>
              <w:contextualSpacing w:val="1"/>
              <w:jc w:val="both"/>
            </w:pPr>
            <w:r>
              <w:t xml:space="preserve">Во время проведения процедуры аукциона </w:t>
            </w:r>
            <w:r>
              <w:t>Оператор электронной площадки</w:t>
            </w:r>
            <w:r>
              <w:t xml:space="preserve">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14:paraId="6C000000">
            <w:pPr>
              <w:ind w:firstLine="567" w:left="0"/>
              <w:contextualSpacing w:val="1"/>
              <w:jc w:val="both"/>
            </w:pPr>
            <w: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</w:t>
            </w:r>
            <w:r>
              <w:t>а</w:t>
            </w:r>
            <w:r>
              <w:t>жи имущества или от лучшего предложения о цене, или предложение, равное начальное цене в уст</w:t>
            </w:r>
            <w:r>
              <w:t>а</w:t>
            </w:r>
            <w:r>
              <w:t>новленных Регламентом электронной площадки случаях.</w:t>
            </w:r>
          </w:p>
          <w:p w14:paraId="6D000000">
            <w:pPr>
              <w:ind w:firstLine="567" w:left="0"/>
              <w:jc w:val="both"/>
            </w:pPr>
            <w:r>
              <w:t xml:space="preserve">Со времени начала проведения процедуры аукциона </w:t>
            </w:r>
            <w:r>
              <w:t>Оператор</w:t>
            </w:r>
            <w:r>
              <w:t>ом</w:t>
            </w:r>
            <w:r>
              <w:t xml:space="preserve"> электронной площадки</w:t>
            </w:r>
            <w:r>
              <w:t xml:space="preserve"> разм</w:t>
            </w:r>
            <w:r>
              <w:t>е</w:t>
            </w:r>
            <w:r>
              <w:t>щается:</w:t>
            </w:r>
          </w:p>
          <w:p w14:paraId="6E000000">
            <w:pPr>
              <w:ind w:firstLine="567" w:left="0"/>
              <w:jc w:val="both"/>
            </w:pPr>
            <w:r>
              <w:t>- в открытой части электронной площадки - информация о начале проведения процедуры аукци</w:t>
            </w:r>
            <w:r>
              <w:t>о</w:t>
            </w:r>
            <w:r>
              <w:t>на с указанием наименования имущества, начальной цены и текущего "шага аукциона";</w:t>
            </w:r>
          </w:p>
          <w:p w14:paraId="6F000000">
            <w:pPr>
              <w:ind w:firstLine="567" w:left="0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</w:t>
            </w:r>
            <w:r>
              <w:t>о</w:t>
            </w:r>
            <w:r>
              <w:t>вышения начальной цены ("шаг аукциона"), время, оставшееся до окончания приема предложений о цене имущества.</w:t>
            </w:r>
          </w:p>
          <w:p w14:paraId="70000000">
            <w:pPr>
              <w:ind w:firstLine="567" w:left="0"/>
              <w:jc w:val="both"/>
            </w:pPr>
            <w:r>
              <w:t>В течение одного часа со времени начала проведения процедуры аукциона участникам предлаг</w:t>
            </w:r>
            <w:r>
              <w:t>а</w:t>
            </w:r>
            <w:r>
              <w:t xml:space="preserve">ется заявить о приобретении имущества по начальной цене. </w:t>
            </w:r>
          </w:p>
          <w:p w14:paraId="71000000">
            <w:pPr>
              <w:ind w:firstLine="567" w:left="0"/>
              <w:jc w:val="both"/>
            </w:pPr>
            <w:r>
              <w:t>В случае, если в течение указанного врем</w:t>
            </w:r>
            <w:r>
              <w:t>е</w:t>
            </w:r>
            <w:r>
              <w:t>ни:</w:t>
            </w:r>
          </w:p>
          <w:p w14:paraId="72000000">
            <w:pPr>
              <w:ind w:firstLine="567" w:left="0"/>
              <w:jc w:val="both"/>
            </w:pPr>
            <w:r>
              <w:t xml:space="preserve">- поступило предложение о начальной цене имущества, то время для представления следующих предложений об увеличенной на "шаг аукциона" </w:t>
            </w:r>
            <w:r>
              <w:t>цене имущества продлевается на 1</w:t>
            </w:r>
            <w:r>
              <w:t>0 (</w:t>
            </w:r>
            <w:r>
              <w:t>десять</w:t>
            </w:r>
            <w:r>
              <w:t>) минут со времени представления каждого следующе</w:t>
            </w:r>
            <w:r>
              <w:t>го предложения. Если в течение 1</w:t>
            </w:r>
            <w:r>
              <w:t>0 (</w:t>
            </w:r>
            <w:r>
              <w:t>десяти</w:t>
            </w:r>
            <w:r>
              <w:t>) минут после представления последнего предложения о цене имущества следующее предложение не поступило, ау</w:t>
            </w:r>
            <w:r>
              <w:t>к</w:t>
            </w:r>
            <w:r>
              <w:t>цион с помощью программно-аппаратных средств электронной площадки завершается;</w:t>
            </w:r>
          </w:p>
          <w:p w14:paraId="73000000">
            <w:pPr>
              <w:ind w:firstLine="567" w:left="0"/>
              <w:jc w:val="both"/>
            </w:pPr>
            <w:r>
              <w:t>- не поступило ни одного предложения о начальной цене имущества, то аукцион с помощью пр</w:t>
            </w:r>
            <w:r>
              <w:t>о</w:t>
            </w:r>
            <w:r>
              <w:t>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14:paraId="74000000">
            <w:pPr>
              <w:ind w:firstLine="539" w:left="0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14:paraId="75000000">
            <w:pPr>
              <w:ind w:firstLine="539" w:left="0"/>
              <w:jc w:val="both"/>
            </w:pPr>
            <w:r>
              <w:t>а) исключение возможности подачи участником предложения о цене имущества, не соответс</w:t>
            </w:r>
            <w:r>
              <w:t>т</w:t>
            </w:r>
            <w:r>
              <w:t>вующего увеличению текущей цены на величину "шага аукциона";</w:t>
            </w:r>
          </w:p>
          <w:p w14:paraId="76000000">
            <w:pPr>
              <w:ind w:firstLine="539" w:left="0"/>
              <w:jc w:val="both"/>
            </w:pPr>
            <w:r>
              <w:t>б) уведомление участника в случае, если предложение этого участника о цене имущества не м</w:t>
            </w:r>
            <w:r>
              <w:t>о</w:t>
            </w:r>
            <w:r>
              <w:t>жет быть принято в связи с подачей аналогичного предложения ранее другим участником.</w:t>
            </w:r>
          </w:p>
          <w:p w14:paraId="77000000">
            <w:pPr>
              <w:ind w:firstLine="567" w:left="0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14:paraId="78000000">
            <w:pPr>
              <w:ind w:firstLine="567" w:left="0"/>
              <w:jc w:val="both"/>
              <w:rPr>
                <w:u w:val="single"/>
              </w:rPr>
            </w:pPr>
            <w:r>
              <w:t>Ход проведения процедуры аукциона фиксируется Оператором электронной площадки в эле</w:t>
            </w:r>
            <w:r>
              <w:t>к</w:t>
            </w:r>
            <w:r>
              <w:t>тронном журнале, который направляется</w:t>
            </w:r>
            <w:r>
              <w:t xml:space="preserve"> Продавцу в течение одного часа со времени завершения приема предложений о цене имущества для подведения итогов аукциона путем оформл</w:t>
            </w:r>
            <w:r>
              <w:t>е</w:t>
            </w:r>
            <w:r>
              <w:t>ния протокола об итогах аукциона, который размещается на официальном сайте Российской Федерации для размещ</w:t>
            </w:r>
            <w:r>
              <w:t>е</w:t>
            </w:r>
            <w:r>
              <w:t xml:space="preserve">ния информации о проведении торгов </w:t>
            </w:r>
            <w:r>
              <w:rPr>
                <w:u w:val="single"/>
              </w:rPr>
              <w:fldChar w:fldCharType="begin"/>
            </w:r>
            <w:r>
              <w:rPr>
                <w:u w:val="single"/>
              </w:rPr>
              <w:instrText>HYPERLINK "http://www.torgi.gov.ru"</w:instrText>
            </w:r>
            <w:r>
              <w:rPr>
                <w:u w:val="single"/>
              </w:rPr>
              <w:fldChar w:fldCharType="separate"/>
            </w:r>
            <w:r>
              <w:rPr>
                <w:u w:val="single"/>
              </w:rPr>
              <w:t>www.torgi.gov.ru</w:t>
            </w:r>
            <w:r>
              <w:rPr>
                <w:u w:val="single"/>
              </w:rPr>
              <w:fldChar w:fldCharType="end"/>
            </w:r>
            <w:r>
              <w:t xml:space="preserve">, </w:t>
            </w:r>
            <w:r>
              <w:t xml:space="preserve">на </w:t>
            </w:r>
            <w:r>
              <w:t xml:space="preserve"> официальном сайте администрации мун</w:t>
            </w:r>
            <w:r>
              <w:t>и</w:t>
            </w:r>
            <w:r>
              <w:t xml:space="preserve">ципального образования Красноармейский район </w:t>
            </w:r>
            <w:r>
              <w:rPr>
                <w:rStyle w:val="Style_3_ch"/>
              </w:rPr>
              <w:fldChar w:fldCharType="begin"/>
            </w:r>
            <w:r>
              <w:rPr>
                <w:rStyle w:val="Style_3_ch"/>
              </w:rPr>
              <w:instrText>HYPERLINK "http://www.krasnarm.ru"</w:instrText>
            </w:r>
            <w:r>
              <w:rPr>
                <w:rStyle w:val="Style_3_ch"/>
              </w:rPr>
              <w:fldChar w:fldCharType="separate"/>
            </w:r>
            <w:r>
              <w:rPr>
                <w:rStyle w:val="Style_3_ch"/>
              </w:rPr>
              <w:t>www.krasnarm.ru</w:t>
            </w:r>
            <w:r>
              <w:rPr>
                <w:rStyle w:val="Style_3_ch"/>
              </w:rPr>
              <w:fldChar w:fldCharType="end"/>
            </w:r>
            <w:r>
              <w:t xml:space="preserve"> </w:t>
            </w:r>
            <w:r>
              <w:t xml:space="preserve"> </w:t>
            </w:r>
            <w:r>
              <w:t>не позднее</w:t>
            </w:r>
            <w:r>
              <w:t xml:space="preserve"> дня, следующего за днем подписания указанного протокола.</w:t>
            </w:r>
            <w:r>
              <w:t xml:space="preserve"> </w:t>
            </w:r>
            <w:r>
              <w:t>А также информацио</w:t>
            </w:r>
            <w:r>
              <w:t>н</w:t>
            </w:r>
            <w:r>
              <w:t>ное сообщение об итогах аукциона</w:t>
            </w:r>
            <w:r>
              <w:t xml:space="preserve"> на</w:t>
            </w:r>
            <w:r>
              <w:t xml:space="preserve">  официальном сайте администрации муниципального образования Красноармейский район </w:t>
            </w:r>
            <w:r>
              <w:rPr>
                <w:rStyle w:val="Style_3_ch"/>
              </w:rPr>
              <w:fldChar w:fldCharType="begin"/>
            </w:r>
            <w:r>
              <w:rPr>
                <w:rStyle w:val="Style_3_ch"/>
              </w:rPr>
              <w:instrText>HYPERLINK "http://www.krasnarm.ru"</w:instrText>
            </w:r>
            <w:r>
              <w:rPr>
                <w:rStyle w:val="Style_3_ch"/>
              </w:rPr>
              <w:fldChar w:fldCharType="separate"/>
            </w:r>
            <w:r>
              <w:rPr>
                <w:rStyle w:val="Style_3_ch"/>
              </w:rPr>
              <w:t>www.krasnarm.ru</w:t>
            </w:r>
            <w:r>
              <w:rPr>
                <w:rStyle w:val="Style_3_ch"/>
              </w:rPr>
              <w:fldChar w:fldCharType="end"/>
            </w:r>
            <w:r>
              <w:rPr>
                <w:u w:val="single"/>
              </w:rPr>
              <w:t>,</w:t>
            </w:r>
            <w:r>
              <w:t xml:space="preserve"> не позднее дня,</w:t>
            </w:r>
            <w:r>
              <w:t xml:space="preserve"> следующего за днем по</w:t>
            </w:r>
            <w:r>
              <w:t>д</w:t>
            </w:r>
            <w:r>
              <w:t>писания указанного протокола.</w:t>
            </w:r>
          </w:p>
          <w:p w14:paraId="79000000">
            <w:pPr>
              <w:ind w:firstLine="567" w:left="0"/>
              <w:jc w:val="both"/>
              <w:outlineLvl w:val="1"/>
            </w:pPr>
            <w:r>
              <w:t>Процедура аукциона считается завершенной с момента подписания Продавцом протокола об ит</w:t>
            </w:r>
            <w:r>
              <w:t>о</w:t>
            </w:r>
            <w:r>
              <w:t xml:space="preserve">гах аукциона. </w:t>
            </w:r>
          </w:p>
          <w:p w14:paraId="7A000000">
            <w:pPr>
              <w:ind w:firstLine="567" w:left="0"/>
            </w:pPr>
            <w:r>
              <w:t>Аукцион признается несостоявшимся в следующих случаях:</w:t>
            </w:r>
          </w:p>
          <w:p w14:paraId="7B000000">
            <w:pPr>
              <w:ind w:firstLine="567" w:left="0"/>
              <w:jc w:val="both"/>
            </w:pPr>
            <w:r>
              <w:t>- не было подано ни одной заявки на участие либо ни один из Претендентов не признан участн</w:t>
            </w:r>
            <w:r>
              <w:t>и</w:t>
            </w:r>
            <w:r>
              <w:t>ком;</w:t>
            </w:r>
          </w:p>
          <w:p w14:paraId="7C000000">
            <w:pPr>
              <w:ind w:firstLine="567" w:left="0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14:paraId="7D000000">
            <w:pPr>
              <w:ind w:firstLine="567" w:left="0"/>
              <w:jc w:val="both"/>
            </w:pPr>
            <w:r>
              <w:t>- ни один из участников не сделал предложение о начальной цене имущества.</w:t>
            </w:r>
          </w:p>
          <w:p w14:paraId="7E000000">
            <w:pPr>
              <w:ind w:firstLine="567" w:left="0"/>
              <w:jc w:val="both"/>
            </w:pPr>
            <w:r>
              <w:t>Решение о признании аукциона несостоявшимся оформляется протоколом об итогах аукц</w:t>
            </w:r>
            <w:r>
              <w:t>и</w:t>
            </w:r>
            <w:r>
              <w:t>она.</w:t>
            </w:r>
          </w:p>
          <w:p w14:paraId="7F000000">
            <w:pPr>
              <w:ind w:firstLine="567" w:left="0"/>
              <w:jc w:val="both"/>
            </w:pPr>
            <w:r>
              <w:t>В течение одного часа со времени подписания протокола об итогах аукциона Оператор ЭП н</w:t>
            </w:r>
            <w:r>
              <w:t>а</w:t>
            </w:r>
            <w:r>
              <w:t>правляет победителю уведомление о признании его победителем с приложением данного пр</w:t>
            </w:r>
            <w:r>
              <w:t>о</w:t>
            </w:r>
            <w:r>
              <w:t>токола, а также размещает в открытой части электронной площадки следующую информацию:</w:t>
            </w:r>
          </w:p>
          <w:p w14:paraId="80000000">
            <w:pPr>
              <w:ind w:firstLine="567" w:left="0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14:paraId="81000000">
            <w:pPr>
              <w:ind w:firstLine="567" w:left="0"/>
              <w:jc w:val="both"/>
            </w:pPr>
            <w:r>
              <w:t>- цена сделки;</w:t>
            </w:r>
          </w:p>
          <w:p w14:paraId="82000000">
            <w:pPr>
              <w:ind w:firstLine="567" w:left="0"/>
              <w:jc w:val="both"/>
            </w:pPr>
            <w:r>
              <w:t>- фамилия, имя, отчество физического лица или наименование юридического лица – Поб</w:t>
            </w:r>
            <w:r>
              <w:t>е</w:t>
            </w:r>
            <w:r>
              <w:t>дителя.</w:t>
            </w:r>
          </w:p>
          <w:p w14:paraId="83000000">
            <w:pPr>
              <w:pStyle w:val="Style_13"/>
              <w:ind w:firstLine="0" w:left="0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Срок заключения договора купли-продажи.</w:t>
            </w:r>
          </w:p>
          <w:p w14:paraId="84000000">
            <w:pPr>
              <w:ind w:firstLine="567" w:left="0"/>
              <w:jc w:val="both"/>
            </w:pPr>
            <w:r>
              <w:t>Договор купли-продажи имущества</w:t>
            </w:r>
            <w:r>
              <w:t xml:space="preserve"> (приложение № 3 к информационному сообщению)</w:t>
            </w:r>
            <w:r>
              <w:t>, заключ</w:t>
            </w:r>
            <w:r>
              <w:t>а</w:t>
            </w:r>
            <w:r>
              <w:t xml:space="preserve">ется между Продавцом и победителем аукциона в соответствии с Гражданским кодексом Российской Федерации, Законом о приватизации </w:t>
            </w:r>
            <w:r>
              <w:t>в течение 5 р</w:t>
            </w:r>
            <w:r>
              <w:t>а</w:t>
            </w:r>
            <w:r>
              <w:t>бочих дней со дня подведения итогов аукциона</w:t>
            </w:r>
            <w:r>
              <w:t>.</w:t>
            </w:r>
          </w:p>
          <w:p w14:paraId="85000000">
            <w:pPr>
              <w:ind w:firstLine="567" w:left="0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14:paraId="86000000">
            <w:pPr>
              <w:ind w:firstLine="567" w:left="0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14:paraId="87000000">
            <w:pPr>
              <w:tabs>
                <w:tab w:leader="none" w:pos="707" w:val="left"/>
                <w:tab w:leader="none" w:pos="1413" w:val="left"/>
                <w:tab w:leader="none" w:pos="2124" w:val="left"/>
                <w:tab w:leader="none" w:pos="2831" w:val="left"/>
                <w:tab w:leader="none" w:pos="3538" w:val="left"/>
                <w:tab w:leader="none" w:pos="4248" w:val="left"/>
                <w:tab w:leader="none" w:pos="4955" w:val="left"/>
                <w:tab w:leader="none" w:pos="5662" w:val="left"/>
                <w:tab w:leader="none" w:pos="6372" w:val="left"/>
                <w:tab w:leader="none" w:pos="7079" w:val="left"/>
                <w:tab w:leader="none" w:pos="7786" w:val="left"/>
                <w:tab w:leader="none" w:pos="8497" w:val="left"/>
                <w:tab w:leader="none" w:pos="9203" w:val="left"/>
                <w:tab w:leader="none" w:pos="9348" w:val="left"/>
                <w:tab w:leader="none" w:pos="9913" w:val="left"/>
              </w:tabs>
              <w:ind/>
              <w:jc w:val="both"/>
            </w:pPr>
            <w:r>
              <w:t>Передача имущества и оформление права собственности на него осуществляются в соответствии с з</w:t>
            </w:r>
            <w:r>
              <w:t>а</w:t>
            </w:r>
            <w:r>
              <w:t>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</w:t>
            </w:r>
            <w:r>
              <w:t xml:space="preserve"> </w:t>
            </w:r>
            <w:r>
              <w:t xml:space="preserve">Согласно условиям Договора купли-продажи имущества оплата расходов по удостоверению </w:t>
            </w:r>
            <w:r>
              <w:t>Договора купли-продажи имущества</w:t>
            </w:r>
            <w:r>
              <w:t xml:space="preserve">, а также расходов по нотариальным действиям, связанным с удостоверением </w:t>
            </w:r>
            <w:r>
              <w:t>Договора купли-продажи имущ</w:t>
            </w:r>
            <w:r>
              <w:t>е</w:t>
            </w:r>
            <w:r>
              <w:t>ства</w:t>
            </w:r>
            <w:r>
              <w:t>, лежит на Покупателе.</w:t>
            </w:r>
          </w:p>
          <w:p w14:paraId="88000000">
            <w:pPr>
              <w:pStyle w:val="Style_13"/>
              <w:ind w:firstLine="0" w:left="0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14:paraId="89000000">
            <w:pPr>
              <w:ind w:firstLine="567" w:left="0"/>
              <w:jc w:val="both"/>
              <w:rPr>
                <w:color w:val="000000"/>
              </w:rPr>
            </w:pPr>
            <w:r>
              <w:t>Оплата производится</w:t>
            </w:r>
            <w:r>
              <w:t xml:space="preserve"> Покупателем в срок не позднее </w:t>
            </w:r>
            <w:r>
              <w:t>1</w:t>
            </w:r>
            <w:r>
              <w:t>0 (десяти)  дней</w:t>
            </w:r>
            <w:r>
              <w:t xml:space="preserve"> со дня заключения н</w:t>
            </w:r>
            <w:r>
              <w:t>а</w:t>
            </w:r>
            <w:r>
              <w:t>стоящего договора путем единовременного перечисления в безналичном порядке денеж</w:t>
            </w:r>
            <w:r>
              <w:t>ных средств в рублях на расчетные</w:t>
            </w:r>
            <w:r>
              <w:t xml:space="preserve"> счет</w:t>
            </w:r>
            <w:r>
              <w:t>а</w:t>
            </w:r>
            <w:r>
              <w:t xml:space="preserve"> по следующим реквизитам:</w:t>
            </w:r>
            <w:r>
              <w:t xml:space="preserve"> </w:t>
            </w:r>
            <w:r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реквизиты для перечисления денежных средств </w:t>
            </w:r>
            <w:r>
              <w:rPr>
                <w:color w:val="000000"/>
              </w:rPr>
              <w:t xml:space="preserve">за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нежилое здание: </w:t>
            </w:r>
            <w:r>
              <w:t>ИНН 23360</w:t>
            </w:r>
            <w:r>
              <w:t>0</w:t>
            </w:r>
            <w:r>
              <w:t>1958 КПП 233601001</w:t>
            </w:r>
            <w:r>
              <w:t xml:space="preserve"> </w:t>
            </w:r>
            <w:r>
              <w:t>Финансовое управление (Управление муниципальной с</w:t>
            </w:r>
            <w:r>
              <w:t xml:space="preserve">обственностью л/с 902.41.003.0). </w:t>
            </w:r>
            <w:r>
              <w:t xml:space="preserve">Наименование банка: Южное ГУ  Банка России//УФК по Краснодарскому краю г. Краснодар </w:t>
            </w:r>
            <w:r>
              <w:t xml:space="preserve"> </w:t>
            </w:r>
            <w:r>
              <w:t>БИК ТОФК 010349101</w:t>
            </w:r>
            <w:r>
              <w:t xml:space="preserve"> </w:t>
            </w:r>
            <w:r>
              <w:t>Единый казначейский счет 40102810945370000010</w:t>
            </w:r>
            <w:r>
              <w:t xml:space="preserve"> </w:t>
            </w:r>
            <w:r>
              <w:t>Казначейский счет 03232643036230001800</w:t>
            </w:r>
            <w:r>
              <w:rPr>
                <w:color w:val="000000"/>
              </w:rPr>
              <w:t xml:space="preserve">. </w:t>
            </w:r>
            <w:r>
              <w:rPr>
                <w:b w:val="1"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</w:t>
            </w:r>
            <w:r>
              <w:rPr>
                <w:spacing w:val="-1"/>
              </w:rPr>
              <w:t>о</w:t>
            </w:r>
            <w:r>
              <w:rPr>
                <w:spacing w:val="-1"/>
              </w:rPr>
              <w:t>говору купли-продажи (дата и номер договора)</w:t>
            </w:r>
            <w:r>
              <w:rPr>
                <w:spacing w:val="-1"/>
              </w:rPr>
              <w:t>.</w:t>
            </w:r>
            <w:r>
              <w:rPr>
                <w:color w:val="000000"/>
              </w:rPr>
              <w:t xml:space="preserve">  </w:t>
            </w:r>
          </w:p>
          <w:p w14:paraId="8A000000">
            <w:pPr>
              <w:pStyle w:val="Style_1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Ограничения участия отдельных категорий физических лиц  и юридических лиц в приват</w:t>
            </w:r>
            <w:r>
              <w:rPr>
                <w:rFonts w:ascii="Times New Roman" w:hAnsi="Times New Roman"/>
                <w:b w:val="1"/>
                <w:sz w:val="24"/>
              </w:rPr>
              <w:t>и</w:t>
            </w:r>
            <w:r>
              <w:rPr>
                <w:rFonts w:ascii="Times New Roman" w:hAnsi="Times New Roman"/>
                <w:b w:val="1"/>
                <w:sz w:val="24"/>
              </w:rPr>
              <w:t>зации муниципального имущества.</w:t>
            </w:r>
          </w:p>
          <w:p w14:paraId="8B000000">
            <w:pPr>
              <w:ind w:firstLine="567" w:left="0"/>
              <w:jc w:val="both"/>
            </w:pPr>
            <w: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14:paraId="8C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14:paraId="8D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государственных и муниципальных унитарных предприятий, гос</w:t>
            </w: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дарственных и муниципальных учреждений;</w:t>
            </w:r>
          </w:p>
          <w:p w14:paraId="8E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юридических лиц, в уставном капитале которых доля Российской Федерации, субъектов Росси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</w:rPr>
              <w:t>ской Федерации и муниципальных образований превышает 25 процентов, кроме случаев, предусмо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ренных </w: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begin"/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instrText>HYPERLINK "http://mobileonline.garant.ru/#/document/12125505/entry/25"</w:instrTex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separate"/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t>статьей 25</w: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настоящего Федерального закона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  <w:p w14:paraId="8F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юридических лиц, местом регистрации которых является государство или территория, включе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>ные в утверждаемый Министерством финансов Российской Федерации перечень государств и террит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рий, предоставляющих льготный налоговый режим налогообложения и (или) не предусматривающих раскрытия и предоставления информации при пров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дении финансовых операций (офшорные зоны), и которые не осуществляют раскрытие и предоставл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ние информации о своих выгодоприобретателях, бенефициарных владельцах и контролирующих лицах в порядке, установленном Правительством Ро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сийской Федер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ции.</w:t>
            </w:r>
          </w:p>
          <w:p w14:paraId="90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"контролирующее лицо" используется в том же значении, что и в </w: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begin"/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instrText>HYPERLINK "http://mobileonline.garant.ru/#/document/12160212/entry/5"</w:instrTex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separate"/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t>статье 5</w: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хозяйс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венные общества, имеющие стратегическое значение для обеспечения обороны страны и безопасн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сти государства". Понятия "выгодоприобретатель" и "бенефициарный владелец" используются в знач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ниях, указанных в </w: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begin"/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instrText>HYPERLINK "http://mobileonline.garant.ru/#/document/12123862/entry/3"</w:instrTex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separate"/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t>статье 3</w:t>
            </w:r>
            <w:r>
              <w:rPr>
                <w:rStyle w:val="Style_3_ch"/>
                <w:rFonts w:ascii="Times New Roman" w:hAnsi="Times New Roman"/>
                <w:color w:val="000000"/>
                <w:sz w:val="24"/>
                <w:u w:val="non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Федерального закона от 7 августа 2001 года N 115-ФЗ "О противодействии лег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лизации (отмыванию) доходов, полученных преступным путем, и финансированию терроризма". Огр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ничения, установленные настоящим пунктом, не распространяются на собственников объектов недв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жимости, не являющихся самовольными постройками и расположенных на относящихся к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венной или муниципальной собственности земельных участках, при приобретении указанными собс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венни</w:t>
            </w:r>
            <w:r>
              <w:rPr>
                <w:rFonts w:ascii="Times New Roman" w:hAnsi="Times New Roman"/>
                <w:color w:val="000000"/>
                <w:sz w:val="24"/>
              </w:rPr>
              <w:t>ками этих земельных участков.</w:t>
            </w:r>
          </w:p>
          <w:p w14:paraId="91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Установленные федеральными законами ограничения участия в гражданских отношениях отдел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ных категорий физических и юридических лиц в целях защиты основ конституционного строя, нравс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венности, здоровья, прав и законных интересов других лиц, обеспечения обороноспособности и без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пасности государства обязательны при приватизации государственного и муниципального имущ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ства.</w:t>
            </w:r>
          </w:p>
          <w:p w14:paraId="92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Акционерные общества, общества с ограниченной ответственностью не могут являться покупат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лями своих акций, своих долей в уставных капиталах, пр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ватизируемых в соответствии с настоящим Федеральным законом.</w:t>
            </w:r>
          </w:p>
          <w:p w14:paraId="93000000">
            <w:pPr>
              <w:pStyle w:val="Style_11"/>
              <w:ind w:firstLine="540" w:lef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случае, если впоследствии будет установлено, что покупатель государственного или </w:t>
            </w:r>
            <w:r>
              <w:rPr>
                <w:rFonts w:ascii="Times New Roman" w:hAnsi="Times New Roman"/>
                <w:color w:val="000000"/>
                <w:sz w:val="24"/>
              </w:rPr>
              <w:t>муниц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пального имущества не имел законное право на его приобретение, соответств</w:t>
            </w: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ющая сделка является ничто</w:t>
            </w: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</w:rPr>
              <w:t>ной.</w:t>
            </w:r>
          </w:p>
          <w:p w14:paraId="94000000">
            <w:pPr>
              <w:pStyle w:val="Style_13"/>
              <w:ind w:firstLine="0" w:left="0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</w:t>
            </w:r>
            <w:r>
              <w:rPr>
                <w:b w:val="1"/>
                <w:sz w:val="24"/>
              </w:rPr>
              <w:t>е</w:t>
            </w:r>
            <w:r>
              <w:rPr>
                <w:b w:val="1"/>
                <w:sz w:val="24"/>
              </w:rPr>
              <w:t>ства.</w:t>
            </w:r>
          </w:p>
          <w:p w14:paraId="95000000">
            <w:pPr>
              <w:ind/>
              <w:jc w:val="both"/>
            </w:pPr>
            <w:r>
              <w:rPr>
                <w:color w:val="000000"/>
              </w:rPr>
              <w:t xml:space="preserve">        </w:t>
            </w:r>
            <w:r>
              <w:rPr>
                <w:color w:val="000000"/>
              </w:rPr>
              <w:t xml:space="preserve">Ранее аукцион по продаже </w:t>
            </w:r>
            <w:r>
              <w:rPr>
                <w:color w:val="000000"/>
              </w:rPr>
              <w:t xml:space="preserve">имущества </w:t>
            </w:r>
            <w:r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проводился</w:t>
            </w:r>
            <w:r>
              <w:rPr>
                <w:color w:val="000000"/>
              </w:rPr>
              <w:t>.</w:t>
            </w:r>
          </w:p>
          <w:p w14:paraId="96000000">
            <w:pPr>
              <w:ind/>
              <w:jc w:val="both"/>
              <w:rPr>
                <w:color w:val="000000"/>
              </w:rPr>
            </w:pPr>
          </w:p>
          <w:p w14:paraId="97000000">
            <w:pPr>
              <w:pStyle w:val="Style_13"/>
              <w:ind w:firstLine="567" w:left="0"/>
              <w:rPr>
                <w:color w:val="000000"/>
                <w:sz w:val="24"/>
              </w:rPr>
            </w:pPr>
          </w:p>
          <w:p w14:paraId="98000000">
            <w:pPr>
              <w:pStyle w:val="Style_13"/>
              <w:ind w:firstLine="567" w:left="0"/>
              <w:rPr>
                <w:color w:val="000000"/>
                <w:sz w:val="24"/>
              </w:rPr>
            </w:pPr>
          </w:p>
          <w:p w14:paraId="99000000">
            <w:pPr>
              <w:pStyle w:val="Style_13"/>
              <w:ind w:firstLine="567" w:left="0"/>
              <w:rPr>
                <w:color w:val="000000"/>
                <w:sz w:val="24"/>
              </w:rPr>
            </w:pPr>
          </w:p>
          <w:p w14:paraId="9A000000">
            <w:pPr>
              <w:pStyle w:val="Style_13"/>
              <w:ind w:firstLine="567" w:left="0"/>
              <w:rPr>
                <w:color w:val="000000"/>
                <w:sz w:val="24"/>
              </w:rPr>
            </w:pPr>
          </w:p>
          <w:p w14:paraId="9B000000">
            <w:pPr>
              <w:pStyle w:val="Style_13"/>
              <w:ind w:firstLine="567" w:left="0"/>
              <w:rPr>
                <w:color w:val="000000"/>
                <w:sz w:val="24"/>
              </w:rPr>
            </w:pPr>
          </w:p>
          <w:p w14:paraId="9C000000">
            <w:pPr>
              <w:pStyle w:val="Style_13"/>
              <w:ind w:firstLine="567" w:left="0"/>
              <w:rPr>
                <w:color w:val="000000"/>
                <w:sz w:val="24"/>
              </w:rPr>
            </w:pPr>
          </w:p>
          <w:p w14:paraId="9D000000"/>
        </w:tc>
      </w:tr>
      <w:tr>
        <w:tc>
          <w:tcPr>
            <w:tcW w:type="dxa" w:w="10942"/>
          </w:tcPr>
          <w:p w14:paraId="9E000000">
            <w:pPr>
              <w:tabs>
                <w:tab w:leader="none" w:pos="3270" w:val="left"/>
              </w:tabs>
              <w:ind/>
              <w:jc w:val="center"/>
              <w:rPr>
                <w:b w:val="1"/>
              </w:rPr>
            </w:pPr>
          </w:p>
        </w:tc>
      </w:tr>
    </w:tbl>
    <w:p w14:paraId="9F000000"/>
    <w:p w14:paraId="A0000000"/>
    <w:sectPr>
      <w:pgSz w:h="16838" w:orient="portrait" w:w="11906"/>
      <w:pgMar w:bottom="568" w:footer="709" w:gutter="0" w:header="709" w:left="851" w:right="567" w:top="426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4" w:type="paragraph">
    <w:name w:val="Normal"/>
    <w:link w:val="Style_14_ch"/>
    <w:uiPriority w:val="0"/>
    <w:qFormat/>
    <w:rPr>
      <w:sz w:val="24"/>
    </w:rPr>
  </w:style>
  <w:style w:default="1" w:styleId="Style_14_ch" w:type="character">
    <w:name w:val="Normal"/>
    <w:link w:val="Style_14"/>
    <w:rPr>
      <w:sz w:val="24"/>
    </w:rPr>
  </w:style>
  <w:style w:styleId="Style_15" w:type="paragraph">
    <w:name w:val="toc 2"/>
    <w:next w:val="Style_14"/>
    <w:link w:val="Style_1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5_ch" w:type="character">
    <w:name w:val="toc 2"/>
    <w:link w:val="Style_15"/>
    <w:rPr>
      <w:rFonts w:ascii="XO Thames" w:hAnsi="XO Thames"/>
      <w:sz w:val="28"/>
    </w:rPr>
  </w:style>
  <w:style w:styleId="Style_16" w:type="paragraph">
    <w:name w:val=" Знак5 Знак Знак Знак"/>
    <w:basedOn w:val="Style_14"/>
    <w:link w:val="Style_16_ch"/>
    <w:pPr>
      <w:spacing w:after="160" w:line="240" w:lineRule="exact"/>
      <w:ind/>
    </w:pPr>
    <w:rPr>
      <w:rFonts w:ascii="Verdana" w:hAnsi="Verdana"/>
      <w:sz w:val="20"/>
    </w:rPr>
  </w:style>
  <w:style w:styleId="Style_16_ch" w:type="character">
    <w:name w:val=" Знак5 Знак Знак Знак"/>
    <w:basedOn w:val="Style_14_ch"/>
    <w:link w:val="Style_16"/>
    <w:rPr>
      <w:rFonts w:ascii="Verdana" w:hAnsi="Verdana"/>
      <w:sz w:val="20"/>
    </w:rPr>
  </w:style>
  <w:style w:styleId="Style_17" w:type="paragraph">
    <w:name w:val="toc 4"/>
    <w:next w:val="Style_14"/>
    <w:link w:val="Style_1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7_ch" w:type="character">
    <w:name w:val="toc 4"/>
    <w:link w:val="Style_17"/>
    <w:rPr>
      <w:rFonts w:ascii="XO Thames" w:hAnsi="XO Thames"/>
      <w:sz w:val="28"/>
    </w:rPr>
  </w:style>
  <w:style w:styleId="Style_18" w:type="paragraph">
    <w:name w:val="toc 6"/>
    <w:next w:val="Style_14"/>
    <w:link w:val="Style_1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8_ch" w:type="character">
    <w:name w:val="toc 6"/>
    <w:link w:val="Style_18"/>
    <w:rPr>
      <w:rFonts w:ascii="XO Thames" w:hAnsi="XO Thames"/>
      <w:sz w:val="28"/>
    </w:rPr>
  </w:style>
  <w:style w:styleId="Style_19" w:type="paragraph">
    <w:name w:val="toc 7"/>
    <w:next w:val="Style_14"/>
    <w:link w:val="Style_1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End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Endnote"/>
    <w:link w:val="Style_20"/>
    <w:rPr>
      <w:rFonts w:ascii="XO Thames" w:hAnsi="XO Thames"/>
      <w:sz w:val="22"/>
    </w:rPr>
  </w:style>
  <w:style w:styleId="Style_10" w:type="paragraph">
    <w:name w:val="heading 3"/>
    <w:basedOn w:val="Style_14"/>
    <w:next w:val="Style_14"/>
    <w:link w:val="Style_10_ch"/>
    <w:uiPriority w:val="9"/>
    <w:qFormat/>
    <w:pPr>
      <w:keepNext w:val="1"/>
      <w:ind/>
      <w:jc w:val="center"/>
      <w:outlineLvl w:val="2"/>
    </w:pPr>
    <w:rPr>
      <w:b w:val="1"/>
      <w:sz w:val="28"/>
    </w:rPr>
  </w:style>
  <w:style w:styleId="Style_10_ch" w:type="character">
    <w:name w:val="heading 3"/>
    <w:basedOn w:val="Style_14_ch"/>
    <w:link w:val="Style_10"/>
    <w:rPr>
      <w:b w:val="1"/>
      <w:sz w:val="28"/>
    </w:rPr>
  </w:style>
  <w:style w:styleId="Style_21" w:type="paragraph">
    <w:name w:val="page number"/>
    <w:link w:val="Style_21_ch"/>
  </w:style>
  <w:style w:styleId="Style_21_ch" w:type="character">
    <w:name w:val="page number"/>
    <w:link w:val="Style_21"/>
  </w:style>
  <w:style w:styleId="Style_5" w:type="paragraph">
    <w:name w:val="List Paragraph"/>
    <w:basedOn w:val="Style_14"/>
    <w:link w:val="Style_5_ch"/>
    <w:pPr>
      <w:widowControl w:val="0"/>
      <w:ind w:firstLine="0" w:left="720"/>
      <w:contextualSpacing w:val="1"/>
    </w:pPr>
    <w:rPr>
      <w:rFonts w:ascii="Arial" w:hAnsi="Arial"/>
      <w:sz w:val="20"/>
    </w:rPr>
  </w:style>
  <w:style w:styleId="Style_5_ch" w:type="character">
    <w:name w:val="List Paragraph"/>
    <w:basedOn w:val="Style_14_ch"/>
    <w:link w:val="Style_5"/>
    <w:rPr>
      <w:rFonts w:ascii="Arial" w:hAnsi="Arial"/>
      <w:sz w:val="20"/>
    </w:rPr>
  </w:style>
  <w:style w:styleId="Style_22" w:type="paragraph">
    <w:name w:val="FollowedHyperlink"/>
    <w:link w:val="Style_22_ch"/>
    <w:rPr>
      <w:color w:val="800080"/>
      <w:u w:val="single"/>
    </w:rPr>
  </w:style>
  <w:style w:styleId="Style_22_ch" w:type="character">
    <w:name w:val="FollowedHyperlink"/>
    <w:link w:val="Style_22"/>
    <w:rPr>
      <w:color w:val="800080"/>
      <w:u w:val="single"/>
    </w:rPr>
  </w:style>
  <w:style w:styleId="Style_4" w:type="paragraph">
    <w:name w:val="Normal (Web)"/>
    <w:basedOn w:val="Style_14"/>
    <w:link w:val="Style_4_ch"/>
    <w:pPr>
      <w:spacing w:after="74" w:before="74"/>
      <w:ind w:firstLine="0" w:left="74" w:right="74"/>
    </w:pPr>
    <w:rPr>
      <w:rFonts w:ascii="Arial CYR" w:hAnsi="Arial CYR"/>
      <w:color w:val="000000"/>
      <w:sz w:val="30"/>
    </w:rPr>
  </w:style>
  <w:style w:styleId="Style_4_ch" w:type="character">
    <w:name w:val="Normal (Web)"/>
    <w:basedOn w:val="Style_14_ch"/>
    <w:link w:val="Style_4"/>
    <w:rPr>
      <w:rFonts w:ascii="Arial CYR" w:hAnsi="Arial CYR"/>
      <w:color w:val="000000"/>
      <w:sz w:val="30"/>
    </w:rPr>
  </w:style>
  <w:style w:styleId="Style_23" w:type="paragraph">
    <w:name w:val="Body Text"/>
    <w:basedOn w:val="Style_14"/>
    <w:link w:val="Style_23_ch"/>
    <w:pPr>
      <w:ind/>
      <w:jc w:val="both"/>
    </w:pPr>
    <w:rPr>
      <w:sz w:val="28"/>
    </w:rPr>
  </w:style>
  <w:style w:styleId="Style_23_ch" w:type="character">
    <w:name w:val="Body Text"/>
    <w:basedOn w:val="Style_14_ch"/>
    <w:link w:val="Style_23"/>
    <w:rPr>
      <w:sz w:val="28"/>
    </w:rPr>
  </w:style>
  <w:style w:styleId="Style_24" w:type="paragraph">
    <w:name w:val="1"/>
    <w:basedOn w:val="Style_14"/>
    <w:link w:val="Style_24_ch"/>
    <w:pPr>
      <w:spacing w:afterAutospacing="on" w:beforeAutospacing="on"/>
      <w:ind/>
    </w:pPr>
    <w:rPr>
      <w:rFonts w:ascii="Tahoma" w:hAnsi="Tahoma"/>
      <w:sz w:val="20"/>
    </w:rPr>
  </w:style>
  <w:style w:styleId="Style_24_ch" w:type="character">
    <w:name w:val="1"/>
    <w:basedOn w:val="Style_14_ch"/>
    <w:link w:val="Style_24"/>
    <w:rPr>
      <w:rFonts w:ascii="Tahoma" w:hAnsi="Tahoma"/>
      <w:sz w:val="20"/>
    </w:rPr>
  </w:style>
  <w:style w:styleId="Style_25" w:type="paragraph">
    <w:name w:val="toc 3"/>
    <w:next w:val="Style_14"/>
    <w:link w:val="Style_2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5_ch" w:type="character">
    <w:name w:val="toc 3"/>
    <w:link w:val="Style_25"/>
    <w:rPr>
      <w:rFonts w:ascii="XO Thames" w:hAnsi="XO Thames"/>
      <w:sz w:val="28"/>
    </w:rPr>
  </w:style>
  <w:style w:styleId="Style_6" w:type="paragraph">
    <w:name w:val="Body Text 2"/>
    <w:basedOn w:val="Style_14"/>
    <w:link w:val="Style_6_ch"/>
    <w:pPr>
      <w:spacing w:after="120" w:line="480" w:lineRule="auto"/>
      <w:ind/>
    </w:pPr>
  </w:style>
  <w:style w:styleId="Style_6_ch" w:type="character">
    <w:name w:val="Body Text 2"/>
    <w:basedOn w:val="Style_14_ch"/>
    <w:link w:val="Style_6"/>
  </w:style>
  <w:style w:styleId="Style_26" w:type="paragraph">
    <w:name w:val="Balloon Text"/>
    <w:basedOn w:val="Style_14"/>
    <w:link w:val="Style_26_ch"/>
    <w:rPr>
      <w:rFonts w:ascii="Tahoma" w:hAnsi="Tahoma"/>
      <w:sz w:val="16"/>
    </w:rPr>
  </w:style>
  <w:style w:styleId="Style_26_ch" w:type="character">
    <w:name w:val="Balloon Text"/>
    <w:basedOn w:val="Style_14_ch"/>
    <w:link w:val="Style_26"/>
    <w:rPr>
      <w:rFonts w:ascii="Tahoma" w:hAnsi="Tahoma"/>
      <w:sz w:val="16"/>
    </w:rPr>
  </w:style>
  <w:style w:styleId="Style_27" w:type="paragraph">
    <w:name w:val="Plain Text"/>
    <w:basedOn w:val="Style_14"/>
    <w:link w:val="Style_27_ch"/>
    <w:rPr>
      <w:rFonts w:ascii="Courier New" w:hAnsi="Courier New"/>
      <w:sz w:val="20"/>
    </w:rPr>
  </w:style>
  <w:style w:styleId="Style_27_ch" w:type="character">
    <w:name w:val="Plain Text"/>
    <w:basedOn w:val="Style_14_ch"/>
    <w:link w:val="Style_27"/>
    <w:rPr>
      <w:rFonts w:ascii="Courier New" w:hAnsi="Courier New"/>
      <w:sz w:val="20"/>
    </w:rPr>
  </w:style>
  <w:style w:styleId="Style_8" w:type="paragraph">
    <w:name w:val="ConsNormal"/>
    <w:link w:val="Style_8_ch"/>
    <w:pPr>
      <w:widowControl w:val="0"/>
      <w:ind w:firstLine="720" w:left="0" w:right="19772"/>
    </w:pPr>
    <w:rPr>
      <w:rFonts w:ascii="Arial" w:hAnsi="Arial"/>
    </w:rPr>
  </w:style>
  <w:style w:styleId="Style_8_ch" w:type="character">
    <w:name w:val="ConsNormal"/>
    <w:link w:val="Style_8"/>
    <w:rPr>
      <w:rFonts w:ascii="Arial" w:hAnsi="Arial"/>
    </w:rPr>
  </w:style>
  <w:style w:styleId="Style_28" w:type="paragraph">
    <w:name w:val="No Spacing"/>
    <w:link w:val="Style_28_ch"/>
    <w:rPr>
      <w:rFonts w:ascii="Calibri" w:hAnsi="Calibri"/>
      <w:sz w:val="22"/>
    </w:rPr>
  </w:style>
  <w:style w:styleId="Style_28_ch" w:type="character">
    <w:name w:val="No Spacing"/>
    <w:link w:val="Style_28"/>
    <w:rPr>
      <w:rFonts w:ascii="Calibri" w:hAnsi="Calibri"/>
      <w:sz w:val="22"/>
    </w:rPr>
  </w:style>
  <w:style w:styleId="Style_29" w:type="paragraph">
    <w:name w:val="heading 5"/>
    <w:next w:val="Style_14"/>
    <w:link w:val="Style_2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9_ch" w:type="character">
    <w:name w:val="heading 5"/>
    <w:link w:val="Style_29"/>
    <w:rPr>
      <w:rFonts w:ascii="XO Thames" w:hAnsi="XO Thames"/>
      <w:b w:val="1"/>
      <w:sz w:val="22"/>
    </w:rPr>
  </w:style>
  <w:style w:styleId="Style_30" w:type="paragraph">
    <w:name w:val="s_1"/>
    <w:basedOn w:val="Style_14"/>
    <w:link w:val="Style_30_ch"/>
    <w:pPr>
      <w:spacing w:afterAutospacing="on" w:beforeAutospacing="on"/>
      <w:ind/>
    </w:pPr>
  </w:style>
  <w:style w:styleId="Style_30_ch" w:type="character">
    <w:name w:val="s_1"/>
    <w:basedOn w:val="Style_14_ch"/>
    <w:link w:val="Style_30"/>
  </w:style>
  <w:style w:styleId="Style_31" w:type="paragraph">
    <w:name w:val="heading 1"/>
    <w:next w:val="Style_14"/>
    <w:link w:val="Style_3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1_ch" w:type="character">
    <w:name w:val="heading 1"/>
    <w:link w:val="Style_31"/>
    <w:rPr>
      <w:rFonts w:ascii="XO Thames" w:hAnsi="XO Thames"/>
      <w:b w:val="1"/>
      <w:sz w:val="32"/>
    </w:rPr>
  </w:style>
  <w:style w:styleId="Style_11" w:type="paragraph">
    <w:name w:val="ConsPlusNormal"/>
    <w:link w:val="Style_11_ch"/>
    <w:pPr>
      <w:widowControl w:val="0"/>
      <w:ind/>
    </w:pPr>
    <w:rPr>
      <w:rFonts w:ascii="Arial" w:hAnsi="Arial"/>
    </w:rPr>
  </w:style>
  <w:style w:styleId="Style_11_ch" w:type="character">
    <w:name w:val="ConsPlusNormal"/>
    <w:link w:val="Style_11"/>
    <w:rPr>
      <w:rFonts w:ascii="Arial" w:hAnsi="Arial"/>
    </w:rPr>
  </w:style>
  <w:style w:styleId="Style_32" w:type="paragraph">
    <w:name w:val="Знак Знак Знак Знак Знак Знак Знак Знак Знак Знак Знак Знак Знак Знак Знак Знак Знак Знак Знак"/>
    <w:basedOn w:val="Style_14"/>
    <w:link w:val="Style_32_ch"/>
    <w:pPr>
      <w:spacing w:afterAutospacing="on" w:beforeAutospacing="on"/>
      <w:ind/>
    </w:pPr>
    <w:rPr>
      <w:rFonts w:ascii="Tahoma" w:hAnsi="Tahoma"/>
      <w:sz w:val="20"/>
    </w:rPr>
  </w:style>
  <w:style w:styleId="Style_32_ch" w:type="character">
    <w:name w:val="Знак Знак Знак Знак Знак Знак Знак Знак Знак Знак Знак Знак Знак Знак Знак Знак Знак Знак Знак"/>
    <w:basedOn w:val="Style_14_ch"/>
    <w:link w:val="Style_32"/>
    <w:rPr>
      <w:rFonts w:ascii="Tahoma" w:hAnsi="Tahoma"/>
      <w:sz w:val="20"/>
    </w:rPr>
  </w:style>
  <w:style w:styleId="Style_3" w:type="paragraph">
    <w:name w:val="Hyperlink"/>
    <w:link w:val="Style_3_ch"/>
    <w:rPr>
      <w:color w:val="0000FF"/>
      <w:u w:val="single"/>
    </w:rPr>
  </w:style>
  <w:style w:styleId="Style_3_ch" w:type="character">
    <w:name w:val="Hyperlink"/>
    <w:link w:val="Style_3"/>
    <w:rPr>
      <w:color w:val="0000FF"/>
      <w:u w:val="single"/>
    </w:rPr>
  </w:style>
  <w:style w:styleId="Style_33" w:type="paragraph">
    <w:name w:val="Footnote"/>
    <w:link w:val="Style_33_ch"/>
    <w:pPr>
      <w:ind w:firstLine="851" w:left="0"/>
      <w:jc w:val="both"/>
    </w:pPr>
    <w:rPr>
      <w:rFonts w:ascii="XO Thames" w:hAnsi="XO Thames"/>
      <w:sz w:val="22"/>
    </w:rPr>
  </w:style>
  <w:style w:styleId="Style_33_ch" w:type="character">
    <w:name w:val="Footnote"/>
    <w:link w:val="Style_33"/>
    <w:rPr>
      <w:rFonts w:ascii="XO Thames" w:hAnsi="XO Thames"/>
      <w:sz w:val="22"/>
    </w:rPr>
  </w:style>
  <w:style w:styleId="Style_13" w:type="paragraph">
    <w:name w:val="Body Text Indent"/>
    <w:basedOn w:val="Style_14"/>
    <w:link w:val="Style_13_ch"/>
    <w:pPr>
      <w:widowControl w:val="0"/>
      <w:ind w:firstLine="720" w:left="0"/>
      <w:jc w:val="both"/>
    </w:pPr>
    <w:rPr>
      <w:sz w:val="28"/>
    </w:rPr>
  </w:style>
  <w:style w:styleId="Style_13_ch" w:type="character">
    <w:name w:val="Body Text Indent"/>
    <w:basedOn w:val="Style_14_ch"/>
    <w:link w:val="Style_13"/>
    <w:rPr>
      <w:sz w:val="28"/>
    </w:rPr>
  </w:style>
  <w:style w:styleId="Style_34" w:type="paragraph">
    <w:name w:val="toc 1"/>
    <w:next w:val="Style_14"/>
    <w:link w:val="Style_3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Default Paragraph Font"/>
    <w:link w:val="Style_35_ch"/>
  </w:style>
  <w:style w:styleId="Style_35_ch" w:type="character">
    <w:name w:val="Default Paragraph Font"/>
    <w:link w:val="Style_35"/>
  </w:style>
  <w:style w:styleId="Style_36" w:type="paragraph">
    <w:name w:val="Header and Footer"/>
    <w:link w:val="Style_36_ch"/>
    <w:pPr>
      <w:spacing w:line="240" w:lineRule="auto"/>
      <w:ind/>
      <w:jc w:val="both"/>
    </w:pPr>
    <w:rPr>
      <w:rFonts w:ascii="XO Thames" w:hAnsi="XO Thames"/>
      <w:sz w:val="28"/>
    </w:rPr>
  </w:style>
  <w:style w:styleId="Style_36_ch" w:type="character">
    <w:name w:val="Header and Footer"/>
    <w:link w:val="Style_36"/>
    <w:rPr>
      <w:rFonts w:ascii="XO Thames" w:hAnsi="XO Thames"/>
      <w:sz w:val="28"/>
    </w:rPr>
  </w:style>
  <w:style w:styleId="Style_37" w:type="paragraph">
    <w:name w:val="toc 9"/>
    <w:next w:val="Style_14"/>
    <w:link w:val="Style_3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7_ch" w:type="character">
    <w:name w:val="toc 9"/>
    <w:link w:val="Style_37"/>
    <w:rPr>
      <w:rFonts w:ascii="XO Thames" w:hAnsi="XO Thames"/>
      <w:sz w:val="28"/>
    </w:rPr>
  </w:style>
  <w:style w:styleId="Style_38" w:type="paragraph">
    <w:name w:val="toc 8"/>
    <w:next w:val="Style_14"/>
    <w:link w:val="Style_3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8_ch" w:type="character">
    <w:name w:val="toc 8"/>
    <w:link w:val="Style_38"/>
    <w:rPr>
      <w:rFonts w:ascii="XO Thames" w:hAnsi="XO Thames"/>
      <w:sz w:val="28"/>
    </w:rPr>
  </w:style>
  <w:style w:styleId="Style_39" w:type="paragraph">
    <w:name w:val="[Normal]"/>
    <w:link w:val="Style_39_ch"/>
    <w:pPr>
      <w:widowControl w:val="0"/>
      <w:ind/>
    </w:pPr>
    <w:rPr>
      <w:rFonts w:ascii="Arial" w:hAnsi="Arial"/>
      <w:sz w:val="24"/>
    </w:rPr>
  </w:style>
  <w:style w:styleId="Style_39_ch" w:type="character">
    <w:name w:val="[Normal]"/>
    <w:link w:val="Style_39"/>
    <w:rPr>
      <w:rFonts w:ascii="Arial" w:hAnsi="Arial"/>
      <w:sz w:val="24"/>
    </w:rPr>
  </w:style>
  <w:style w:styleId="Style_40" w:type="paragraph">
    <w:name w:val="s_22"/>
    <w:basedOn w:val="Style_14"/>
    <w:link w:val="Style_40_ch"/>
    <w:pPr>
      <w:spacing w:afterAutospacing="on" w:beforeAutospacing="on"/>
      <w:ind/>
    </w:pPr>
  </w:style>
  <w:style w:styleId="Style_40_ch" w:type="character">
    <w:name w:val="s_22"/>
    <w:basedOn w:val="Style_14_ch"/>
    <w:link w:val="Style_40"/>
  </w:style>
  <w:style w:styleId="Style_41" w:type="paragraph">
    <w:name w:val="header"/>
    <w:basedOn w:val="Style_14"/>
    <w:link w:val="Style_41_ch"/>
    <w:pPr>
      <w:tabs>
        <w:tab w:leader="none" w:pos="4677" w:val="center"/>
        <w:tab w:leader="none" w:pos="9355" w:val="right"/>
      </w:tabs>
      <w:ind/>
    </w:pPr>
  </w:style>
  <w:style w:styleId="Style_41_ch" w:type="character">
    <w:name w:val="header"/>
    <w:basedOn w:val="Style_14_ch"/>
    <w:link w:val="Style_41"/>
  </w:style>
  <w:style w:styleId="Style_12" w:type="paragraph">
    <w:name w:val="TextBoldCenter"/>
    <w:basedOn w:val="Style_14"/>
    <w:link w:val="Style_12_ch"/>
    <w:pPr>
      <w:spacing w:before="283"/>
      <w:ind/>
      <w:jc w:val="center"/>
    </w:pPr>
    <w:rPr>
      <w:b w:val="1"/>
      <w:sz w:val="26"/>
    </w:rPr>
  </w:style>
  <w:style w:styleId="Style_12_ch" w:type="character">
    <w:name w:val="TextBoldCenter"/>
    <w:basedOn w:val="Style_14_ch"/>
    <w:link w:val="Style_12"/>
    <w:rPr>
      <w:b w:val="1"/>
      <w:sz w:val="26"/>
    </w:rPr>
  </w:style>
  <w:style w:styleId="Style_42" w:type="paragraph">
    <w:name w:val="toc 5"/>
    <w:next w:val="Style_14"/>
    <w:link w:val="Style_4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2_ch" w:type="character">
    <w:name w:val="toc 5"/>
    <w:link w:val="Style_42"/>
    <w:rPr>
      <w:rFonts w:ascii="XO Thames" w:hAnsi="XO Thames"/>
      <w:sz w:val="28"/>
    </w:rPr>
  </w:style>
  <w:style w:styleId="Style_7" w:type="paragraph">
    <w:name w:val="Body Text Indent 2"/>
    <w:basedOn w:val="Style_14"/>
    <w:link w:val="Style_7_ch"/>
    <w:pPr>
      <w:widowControl w:val="0"/>
      <w:ind w:firstLine="360" w:left="0"/>
      <w:jc w:val="both"/>
    </w:pPr>
    <w:rPr>
      <w:sz w:val="28"/>
    </w:rPr>
  </w:style>
  <w:style w:styleId="Style_7_ch" w:type="character">
    <w:name w:val="Body Text Indent 2"/>
    <w:basedOn w:val="Style_14_ch"/>
    <w:link w:val="Style_7"/>
    <w:rPr>
      <w:sz w:val="28"/>
    </w:rPr>
  </w:style>
  <w:style w:styleId="Style_2" w:type="paragraph">
    <w:name w:val="No Spacing"/>
    <w:link w:val="Style_2_ch"/>
    <w:rPr>
      <w:rFonts w:ascii="Calibri" w:hAnsi="Calibri"/>
      <w:sz w:val="22"/>
    </w:rPr>
  </w:style>
  <w:style w:styleId="Style_2_ch" w:type="character">
    <w:name w:val="No Spacing"/>
    <w:link w:val="Style_2"/>
    <w:rPr>
      <w:rFonts w:ascii="Calibri" w:hAnsi="Calibri"/>
      <w:sz w:val="22"/>
    </w:rPr>
  </w:style>
  <w:style w:styleId="Style_9" w:type="paragraph">
    <w:name w:val="Normal_0"/>
    <w:link w:val="Style_9_ch"/>
  </w:style>
  <w:style w:styleId="Style_9_ch" w:type="character">
    <w:name w:val="Normal_0"/>
    <w:link w:val="Style_9"/>
  </w:style>
  <w:style w:styleId="Style_43" w:type="paragraph">
    <w:name w:val="Subtitle"/>
    <w:next w:val="Style_14"/>
    <w:link w:val="Style_4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3_ch" w:type="character">
    <w:name w:val="Subtitle"/>
    <w:link w:val="Style_43"/>
    <w:rPr>
      <w:rFonts w:ascii="XO Thames" w:hAnsi="XO Thames"/>
      <w:i w:val="1"/>
      <w:sz w:val="24"/>
    </w:rPr>
  </w:style>
  <w:style w:styleId="Style_44" w:type="paragraph">
    <w:name w:val="обычный_1 Знак Знак Знак Знак Знак Знак Знак Знак Знак"/>
    <w:basedOn w:val="Style_14"/>
    <w:link w:val="Style_44_ch"/>
    <w:pPr>
      <w:spacing w:afterAutospacing="on" w:beforeAutospacing="on"/>
      <w:ind/>
      <w:jc w:val="both"/>
    </w:pPr>
    <w:rPr>
      <w:rFonts w:ascii="Tahoma" w:hAnsi="Tahoma"/>
      <w:sz w:val="20"/>
    </w:rPr>
  </w:style>
  <w:style w:styleId="Style_44_ch" w:type="character">
    <w:name w:val="обычный_1 Знак Знак Знак Знак Знак Знак Знак Знак Знак"/>
    <w:basedOn w:val="Style_14_ch"/>
    <w:link w:val="Style_44"/>
    <w:rPr>
      <w:rFonts w:ascii="Tahoma" w:hAnsi="Tahoma"/>
      <w:sz w:val="20"/>
    </w:rPr>
  </w:style>
  <w:style w:styleId="Style_45" w:type="paragraph">
    <w:name w:val="Title"/>
    <w:basedOn w:val="Style_14"/>
    <w:link w:val="Style_45_ch"/>
    <w:uiPriority w:val="10"/>
    <w:qFormat/>
    <w:pPr>
      <w:ind/>
      <w:jc w:val="center"/>
    </w:pPr>
    <w:rPr>
      <w:sz w:val="28"/>
    </w:rPr>
  </w:style>
  <w:style w:styleId="Style_45_ch" w:type="character">
    <w:name w:val="Title"/>
    <w:basedOn w:val="Style_14_ch"/>
    <w:link w:val="Style_45"/>
    <w:rPr>
      <w:sz w:val="28"/>
    </w:rPr>
  </w:style>
  <w:style w:styleId="Style_46" w:type="paragraph">
    <w:name w:val="heading 4"/>
    <w:basedOn w:val="Style_14"/>
    <w:next w:val="Style_14"/>
    <w:link w:val="Style_46_ch"/>
    <w:uiPriority w:val="9"/>
    <w:qFormat/>
    <w:pPr>
      <w:keepNext w:val="1"/>
      <w:spacing w:after="60" w:before="240"/>
      <w:ind/>
      <w:outlineLvl w:val="3"/>
    </w:pPr>
    <w:rPr>
      <w:rFonts w:ascii="Calibri" w:hAnsi="Calibri"/>
      <w:b w:val="1"/>
      <w:sz w:val="28"/>
    </w:rPr>
  </w:style>
  <w:style w:styleId="Style_46_ch" w:type="character">
    <w:name w:val="heading 4"/>
    <w:basedOn w:val="Style_14_ch"/>
    <w:link w:val="Style_46"/>
    <w:rPr>
      <w:rFonts w:ascii="Calibri" w:hAnsi="Calibri"/>
      <w:b w:val="1"/>
      <w:sz w:val="28"/>
    </w:rPr>
  </w:style>
  <w:style w:styleId="Style_47" w:type="paragraph">
    <w:name w:val="Style1"/>
    <w:basedOn w:val="Style_14"/>
    <w:link w:val="Style_47_ch"/>
    <w:pPr>
      <w:widowControl w:val="0"/>
      <w:ind/>
    </w:pPr>
  </w:style>
  <w:style w:styleId="Style_47_ch" w:type="character">
    <w:name w:val="Style1"/>
    <w:basedOn w:val="Style_14_ch"/>
    <w:link w:val="Style_47"/>
  </w:style>
  <w:style w:styleId="Style_48" w:type="paragraph">
    <w:name w:val="heading 2"/>
    <w:basedOn w:val="Style_14"/>
    <w:next w:val="Style_14"/>
    <w:link w:val="Style_48_ch"/>
    <w:uiPriority w:val="9"/>
    <w:qFormat/>
    <w:pPr>
      <w:keepNext w:val="1"/>
      <w:ind/>
      <w:jc w:val="center"/>
      <w:outlineLvl w:val="1"/>
    </w:pPr>
  </w:style>
  <w:style w:styleId="Style_48_ch" w:type="character">
    <w:name w:val="heading 2"/>
    <w:basedOn w:val="Style_14_ch"/>
    <w:link w:val="Style_48"/>
  </w:style>
  <w:style w:styleId="Style_49" w:type="paragraph">
    <w:name w:val="ConsPlusCell"/>
    <w:link w:val="Style_49_ch"/>
    <w:pPr>
      <w:widowControl w:val="0"/>
      <w:ind/>
    </w:pPr>
    <w:rPr>
      <w:rFonts w:ascii="Arial" w:hAnsi="Arial"/>
    </w:rPr>
  </w:style>
  <w:style w:styleId="Style_49_ch" w:type="character">
    <w:name w:val="ConsPlusCell"/>
    <w:link w:val="Style_49"/>
    <w:rPr>
      <w:rFonts w:ascii="Arial" w:hAnsi="Arial"/>
    </w:rPr>
  </w:style>
  <w:style w:styleId="Style_50" w:type="paragraph">
    <w:name w:val="footer"/>
    <w:basedOn w:val="Style_14"/>
    <w:link w:val="Style_50_ch"/>
    <w:pPr>
      <w:tabs>
        <w:tab w:leader="none" w:pos="4677" w:val="center"/>
        <w:tab w:leader="none" w:pos="9355" w:val="right"/>
      </w:tabs>
      <w:ind/>
    </w:pPr>
  </w:style>
  <w:style w:styleId="Style_50_ch" w:type="character">
    <w:name w:val="footer"/>
    <w:basedOn w:val="Style_14_ch"/>
    <w:link w:val="Style_50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1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2024-03-21T11:31:07Z</dcterms:modified>
</cp:coreProperties>
</file>